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4D814AFE" w:rsidR="008A5A6C" w:rsidRPr="00A640CD" w:rsidRDefault="00E83194" w:rsidP="008A5A6C">
      <w:pPr>
        <w:jc w:val="center"/>
        <w:rPr>
          <w:rFonts w:ascii="Arial" w:hAnsi="Arial" w:cs="Arial"/>
          <w:b/>
          <w:bCs/>
          <w:color w:val="000080"/>
          <w:sz w:val="44"/>
          <w:szCs w:val="44"/>
          <w:u w:val="single"/>
        </w:rPr>
      </w:pPr>
      <w:r>
        <w:rPr>
          <w:rFonts w:ascii="Arial" w:hAnsi="Arial" w:cs="Arial"/>
          <w:b/>
          <w:bCs/>
          <w:color w:val="000080"/>
          <w:sz w:val="44"/>
          <w:szCs w:val="44"/>
          <w:u w:val="single"/>
        </w:rPr>
        <w:t>Meisner Effect</w:t>
      </w:r>
    </w:p>
    <w:p w14:paraId="210270A5" w14:textId="77777777" w:rsidR="008A5A6C" w:rsidRDefault="008A5A6C" w:rsidP="008A5A6C"/>
    <w:p w14:paraId="75A81E2A" w14:textId="67EAB53D" w:rsidR="0076407F" w:rsidRDefault="0076407F" w:rsidP="00444501">
      <w:pPr>
        <w:rPr>
          <w:rFonts w:ascii="Calibri" w:hAnsi="Calibri" w:cs="Calibri"/>
        </w:rPr>
      </w:pPr>
    </w:p>
    <w:p w14:paraId="524639A3" w14:textId="793F382D" w:rsidR="00EB2405" w:rsidRPr="00EB2405" w:rsidRDefault="00EB2405" w:rsidP="004E0E88">
      <w:pPr>
        <w:rPr>
          <w:rFonts w:ascii="Calibri" w:hAnsi="Calibri" w:cs="Calibri"/>
        </w:rPr>
      </w:pPr>
      <w:r>
        <w:rPr>
          <w:rFonts w:ascii="Calibri" w:hAnsi="Calibri" w:cs="Calibri"/>
        </w:rPr>
        <w:t>Now I’ll consider Type II superconductors.  So as is discussed at more length in the critical fields file, these superconductors are characterized by the feature that after the first critical field boundary H &gt; H</w:t>
      </w:r>
      <w:r>
        <w:rPr>
          <w:rFonts w:ascii="Calibri" w:hAnsi="Calibri" w:cs="Calibri"/>
          <w:vertAlign w:val="subscript"/>
        </w:rPr>
        <w:t>c1</w:t>
      </w:r>
      <w:r>
        <w:rPr>
          <w:rFonts w:ascii="Calibri" w:hAnsi="Calibri" w:cs="Calibri"/>
        </w:rPr>
        <w:t>(T) is passed, flux wi</w:t>
      </w:r>
      <w:r w:rsidR="00CB2151">
        <w:rPr>
          <w:rFonts w:ascii="Calibri" w:hAnsi="Calibri" w:cs="Calibri"/>
        </w:rPr>
        <w:t>l</w:t>
      </w:r>
      <w:r>
        <w:rPr>
          <w:rFonts w:ascii="Calibri" w:hAnsi="Calibri" w:cs="Calibri"/>
        </w:rPr>
        <w:t>l start to permeate the metal, increasingly, until we get to H = H</w:t>
      </w:r>
      <w:r>
        <w:rPr>
          <w:rFonts w:ascii="Calibri" w:hAnsi="Calibri" w:cs="Calibri"/>
          <w:vertAlign w:val="subscript"/>
        </w:rPr>
        <w:t>c2</w:t>
      </w:r>
      <w:r>
        <w:rPr>
          <w:rFonts w:ascii="Calibri" w:hAnsi="Calibri" w:cs="Calibri"/>
        </w:rPr>
        <w:t>(T), when the external field will completely pass through.</w:t>
      </w:r>
      <w:r w:rsidR="00385B0A">
        <w:rPr>
          <w:rFonts w:ascii="Calibri" w:hAnsi="Calibri" w:cs="Calibri"/>
        </w:rPr>
        <w:t xml:space="preserve"> </w:t>
      </w:r>
      <w:r>
        <w:rPr>
          <w:rFonts w:ascii="Calibri" w:hAnsi="Calibri" w:cs="Calibri"/>
        </w:rPr>
        <w:t xml:space="preserve"> </w:t>
      </w:r>
      <w:r w:rsidR="008D5D9B">
        <w:rPr>
          <w:rFonts w:ascii="Calibri" w:hAnsi="Calibri" w:cs="Calibri"/>
          <w:color w:val="0070C0"/>
        </w:rPr>
        <w:t>These plots below are for dirty superconductors (i.e., have impurities) I’m thinking?</w:t>
      </w:r>
      <w:r w:rsidR="00835C1F">
        <w:rPr>
          <w:rFonts w:ascii="Calibri" w:hAnsi="Calibri" w:cs="Calibri"/>
          <w:color w:val="0070C0"/>
        </w:rPr>
        <w:t xml:space="preserve">  </w:t>
      </w:r>
    </w:p>
    <w:p w14:paraId="26680F66" w14:textId="63712A44" w:rsidR="004E41DB" w:rsidRDefault="004E41DB" w:rsidP="004E0E88">
      <w:pPr>
        <w:rPr>
          <w:rFonts w:ascii="Calibri" w:hAnsi="Calibri" w:cs="Calibri"/>
        </w:rPr>
      </w:pPr>
    </w:p>
    <w:p w14:paraId="076F5BC2" w14:textId="67B231FA" w:rsidR="007E4359" w:rsidRDefault="007E4359" w:rsidP="004E0E88">
      <w:pPr>
        <w:rPr>
          <w:rFonts w:ascii="Calibri" w:hAnsi="Calibri" w:cs="Calibri"/>
        </w:rPr>
      </w:pPr>
      <w:r>
        <w:rPr>
          <w:rFonts w:ascii="Calibri" w:hAnsi="Calibri" w:cs="Calibri"/>
          <w:noProof/>
        </w:rPr>
        <w:drawing>
          <wp:inline distT="0" distB="0" distL="0" distR="0" wp14:anchorId="4E7FB20C" wp14:editId="3C6AC91D">
            <wp:extent cx="3718560" cy="18440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8560" cy="1844040"/>
                    </a:xfrm>
                    <a:prstGeom prst="rect">
                      <a:avLst/>
                    </a:prstGeom>
                    <a:noFill/>
                    <a:ln>
                      <a:noFill/>
                    </a:ln>
                  </pic:spPr>
                </pic:pic>
              </a:graphicData>
            </a:graphic>
          </wp:inline>
        </w:drawing>
      </w:r>
    </w:p>
    <w:p w14:paraId="44721674" w14:textId="77777777" w:rsidR="004C3A4D" w:rsidRDefault="004C3A4D" w:rsidP="004C3A4D">
      <w:pPr>
        <w:rPr>
          <w:rFonts w:ascii="Calibri" w:hAnsi="Calibri" w:cs="Calibri"/>
        </w:rPr>
      </w:pPr>
    </w:p>
    <w:p w14:paraId="4F541F01" w14:textId="21CB4039" w:rsidR="004C3A4D" w:rsidRDefault="004C3A4D" w:rsidP="004E0E88">
      <w:pPr>
        <w:rPr>
          <w:rFonts w:ascii="Calibri" w:hAnsi="Calibri" w:cs="Calibri"/>
        </w:rPr>
      </w:pPr>
      <w:r>
        <w:rPr>
          <w:rFonts w:ascii="Calibri" w:hAnsi="Calibri" w:cs="Calibri"/>
        </w:rPr>
        <w:t>So should say that Meisner effect has to do with the magnetic susceptibility, plotted above for both Type I’s and Type II’s.  From the plot we see that for Type II’s, the susceptibility is χ</w:t>
      </w:r>
      <w:r>
        <w:rPr>
          <w:rFonts w:ascii="Calibri" w:hAnsi="Calibri" w:cs="Calibri"/>
          <w:vertAlign w:val="subscript"/>
        </w:rPr>
        <w:t>m</w:t>
      </w:r>
      <w:r>
        <w:rPr>
          <w:rFonts w:ascii="Calibri" w:hAnsi="Calibri" w:cs="Calibri"/>
        </w:rPr>
        <w:t xml:space="preserve"> = -1 up to a critical field H</w:t>
      </w:r>
      <w:r>
        <w:rPr>
          <w:rFonts w:ascii="Calibri" w:hAnsi="Calibri" w:cs="Calibri"/>
          <w:vertAlign w:val="subscript"/>
        </w:rPr>
        <w:t>c1</w:t>
      </w:r>
      <w:r>
        <w:rPr>
          <w:rFonts w:ascii="Calibri" w:hAnsi="Calibri" w:cs="Calibri"/>
        </w:rPr>
        <w:t>.  Thus they are perfect diamagnets up to that point.  And imperfect diamagnets up H</w:t>
      </w:r>
      <w:r>
        <w:rPr>
          <w:rFonts w:ascii="Calibri" w:hAnsi="Calibri" w:cs="Calibri"/>
          <w:vertAlign w:val="subscript"/>
        </w:rPr>
        <w:t>c2</w:t>
      </w:r>
      <w:r>
        <w:rPr>
          <w:rFonts w:ascii="Calibri" w:hAnsi="Calibri" w:cs="Calibri"/>
        </w:rPr>
        <w:t xml:space="preserve">.  And as we calculate the supercurrents below, keep in mind that one could say that we’re simply calculating the magnetization, as </w:t>
      </w:r>
      <w:r w:rsidRPr="000E28C9">
        <w:rPr>
          <w:rFonts w:ascii="Calibri" w:hAnsi="Calibri" w:cs="Calibri"/>
          <w:b/>
        </w:rPr>
        <w:t>M</w:t>
      </w:r>
      <w:r>
        <w:rPr>
          <w:rFonts w:ascii="Calibri" w:hAnsi="Calibri" w:cs="Calibri"/>
        </w:rPr>
        <w:t xml:space="preserve"> = (1/2)∫d</w:t>
      </w:r>
      <w:r>
        <w:rPr>
          <w:rFonts w:ascii="Calibri" w:hAnsi="Calibri" w:cs="Calibri"/>
          <w:vertAlign w:val="superscript"/>
        </w:rPr>
        <w:t>3</w:t>
      </w:r>
      <w:r>
        <w:rPr>
          <w:rFonts w:ascii="Calibri" w:hAnsi="Calibri" w:cs="Calibri"/>
        </w:rPr>
        <w:t xml:space="preserve">r </w:t>
      </w:r>
      <w:r w:rsidRPr="000E28C9">
        <w:rPr>
          <w:rFonts w:ascii="Calibri" w:hAnsi="Calibri" w:cs="Calibri"/>
          <w:b/>
        </w:rPr>
        <w:t>r</w:t>
      </w:r>
      <w:r>
        <w:rPr>
          <w:rFonts w:ascii="Calibri" w:hAnsi="Calibri" w:cs="Calibri"/>
        </w:rPr>
        <w:t>×</w:t>
      </w:r>
      <w:r w:rsidRPr="000E28C9">
        <w:rPr>
          <w:rFonts w:ascii="Calibri" w:hAnsi="Calibri" w:cs="Calibri"/>
          <w:b/>
        </w:rPr>
        <w:t>J</w:t>
      </w:r>
      <w:r>
        <w:rPr>
          <w:rFonts w:ascii="Calibri" w:hAnsi="Calibri" w:cs="Calibri"/>
        </w:rPr>
        <w:t xml:space="preserve"> (see EM folder).</w:t>
      </w:r>
    </w:p>
    <w:p w14:paraId="618EF5A1" w14:textId="77777777" w:rsidR="004C3A4D" w:rsidRDefault="004C3A4D" w:rsidP="004E0E88">
      <w:pPr>
        <w:rPr>
          <w:rFonts w:ascii="Calibri" w:hAnsi="Calibri" w:cs="Calibri"/>
        </w:rPr>
      </w:pPr>
    </w:p>
    <w:p w14:paraId="761485C7" w14:textId="304E8C13" w:rsidR="00777C52" w:rsidRPr="004E41DB" w:rsidRDefault="00153F6B" w:rsidP="004E0E88">
      <w:pPr>
        <w:rPr>
          <w:rFonts w:ascii="Calibri" w:hAnsi="Calibri" w:cs="Calibri"/>
          <w:b/>
        </w:rPr>
      </w:pPr>
      <w:r w:rsidRPr="000E4CF4">
        <w:rPr>
          <w:rFonts w:ascii="Calibri" w:hAnsi="Calibri" w:cs="Calibri"/>
          <w:b/>
          <w:sz w:val="28"/>
          <w:szCs w:val="28"/>
        </w:rPr>
        <w:t xml:space="preserve">Revisiting the </w:t>
      </w:r>
      <w:r w:rsidR="002D14E0" w:rsidRPr="000E4CF4">
        <w:rPr>
          <w:rFonts w:ascii="Calibri" w:hAnsi="Calibri" w:cs="Calibri"/>
          <w:b/>
          <w:sz w:val="28"/>
          <w:szCs w:val="28"/>
        </w:rPr>
        <w:t>Meisner Effect via London Theory of Superconductors</w:t>
      </w:r>
    </w:p>
    <w:p w14:paraId="6068AAAE" w14:textId="70A8A29F" w:rsidR="00DB0ADC" w:rsidRDefault="00153F6B" w:rsidP="00153F6B">
      <w:pPr>
        <w:rPr>
          <w:rFonts w:ascii="Calibri" w:hAnsi="Calibri" w:cs="Calibri"/>
        </w:rPr>
      </w:pPr>
      <w:r>
        <w:rPr>
          <w:rFonts w:ascii="Calibri" w:hAnsi="Calibri" w:cs="Calibri"/>
        </w:rPr>
        <w:t xml:space="preserve">So for Type I superconductors, all magnetic field lines are expelled from the interior.  But as we said, this isn’t necessarily so for Type II’s.  So let’s revisit our London Theory analysis and see </w:t>
      </w:r>
      <w:r w:rsidR="00812DBA">
        <w:rPr>
          <w:rFonts w:ascii="Calibri" w:hAnsi="Calibri" w:cs="Calibri"/>
        </w:rPr>
        <w:t>how we can still postulate a non-zero superconducting electron density n</w:t>
      </w:r>
      <w:r w:rsidR="00812DBA">
        <w:rPr>
          <w:rFonts w:ascii="Calibri" w:hAnsi="Calibri" w:cs="Calibri"/>
          <w:vertAlign w:val="subscript"/>
        </w:rPr>
        <w:t>s</w:t>
      </w:r>
      <w:r w:rsidR="00812DBA">
        <w:rPr>
          <w:rFonts w:ascii="Calibri" w:hAnsi="Calibri" w:cs="Calibri"/>
        </w:rPr>
        <w:t>, while avoiding any consequent expulsion of all magnetic field lines</w:t>
      </w:r>
      <w:r>
        <w:rPr>
          <w:rFonts w:ascii="Calibri" w:hAnsi="Calibri" w:cs="Calibri"/>
        </w:rPr>
        <w:t>.  Actually, we’ll find that it was our assumption that n</w:t>
      </w:r>
      <w:r>
        <w:rPr>
          <w:rFonts w:ascii="Calibri" w:hAnsi="Calibri" w:cs="Calibri"/>
          <w:vertAlign w:val="subscript"/>
        </w:rPr>
        <w:t>s</w:t>
      </w:r>
      <w:r>
        <w:rPr>
          <w:rFonts w:ascii="Calibri" w:hAnsi="Calibri" w:cs="Calibri"/>
        </w:rPr>
        <w:t xml:space="preserve"> was position-independent that resulted in </w:t>
      </w:r>
      <w:r w:rsidR="00812DBA">
        <w:rPr>
          <w:rFonts w:ascii="Calibri" w:hAnsi="Calibri" w:cs="Calibri"/>
        </w:rPr>
        <w:t xml:space="preserve">the unavoidable conclusion that B was attenuated (therefore, expelled). </w:t>
      </w:r>
      <w:r>
        <w:rPr>
          <w:rFonts w:ascii="Calibri" w:hAnsi="Calibri" w:cs="Calibri"/>
        </w:rPr>
        <w:t xml:space="preserve"> </w:t>
      </w:r>
      <w:r w:rsidR="004E41DB">
        <w:rPr>
          <w:rFonts w:ascii="Calibri" w:hAnsi="Calibri" w:cs="Calibri"/>
        </w:rPr>
        <w:t xml:space="preserve">So </w:t>
      </w:r>
      <w:r w:rsidR="00812DBA">
        <w:rPr>
          <w:rFonts w:ascii="Calibri" w:hAnsi="Calibri" w:cs="Calibri"/>
        </w:rPr>
        <w:t xml:space="preserve">let’s repeat the analysis from before, but this time, relaxing that one assumption.  We start with the </w:t>
      </w:r>
      <w:r w:rsidR="003012D5">
        <w:rPr>
          <w:rFonts w:ascii="Calibri" w:hAnsi="Calibri" w:cs="Calibri"/>
        </w:rPr>
        <w:t>current, basically kinematics, equation:</w:t>
      </w:r>
    </w:p>
    <w:p w14:paraId="63265A4B" w14:textId="77777777" w:rsidR="00153F6B" w:rsidRDefault="00153F6B" w:rsidP="00153F6B">
      <w:pPr>
        <w:rPr>
          <w:rFonts w:ascii="Calibri" w:hAnsi="Calibri" w:cs="Calibri"/>
        </w:rPr>
      </w:pPr>
    </w:p>
    <w:p w14:paraId="5162C8EF" w14:textId="77777777" w:rsidR="00153F6B" w:rsidRPr="0043271A" w:rsidRDefault="00153F6B" w:rsidP="00153F6B">
      <w:pPr>
        <w:rPr>
          <w:rFonts w:asciiTheme="minorHAnsi" w:hAnsiTheme="minorHAnsi" w:cstheme="minorHAnsi"/>
        </w:rPr>
      </w:pPr>
      <w:r w:rsidRPr="000740B6">
        <w:rPr>
          <w:rFonts w:asciiTheme="minorHAnsi" w:hAnsiTheme="minorHAnsi" w:cstheme="minorHAnsi"/>
          <w:position w:val="-92"/>
        </w:rPr>
        <w:object w:dxaOrig="2360" w:dyaOrig="1980" w14:anchorId="76D44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35pt;height:103.1pt" o:ole="">
            <v:imagedata r:id="rId6" o:title=""/>
          </v:shape>
          <o:OLEObject Type="Embed" ProgID="Equation.DSMT4" ShapeID="_x0000_i1025" DrawAspect="Content" ObjectID="_1699097385" r:id="rId7"/>
        </w:object>
      </w:r>
    </w:p>
    <w:p w14:paraId="55C362EC" w14:textId="77777777" w:rsidR="00153F6B" w:rsidRDefault="00153F6B" w:rsidP="00153F6B">
      <w:pPr>
        <w:rPr>
          <w:rFonts w:ascii="Calibri" w:hAnsi="Calibri" w:cs="Calibri"/>
        </w:rPr>
      </w:pPr>
    </w:p>
    <w:p w14:paraId="43B6D95E" w14:textId="77777777" w:rsidR="00153F6B" w:rsidRDefault="00153F6B" w:rsidP="00153F6B">
      <w:pPr>
        <w:rPr>
          <w:rFonts w:ascii="Calibri" w:hAnsi="Calibri" w:cs="Calibri"/>
        </w:rPr>
      </w:pPr>
      <w:r>
        <w:rPr>
          <w:rFonts w:ascii="Calibri" w:hAnsi="Calibri" w:cs="Calibri"/>
        </w:rPr>
        <w:t>where this time we suppose that just a portion, n</w:t>
      </w:r>
      <w:r w:rsidRPr="003012D5">
        <w:rPr>
          <w:rFonts w:ascii="Calibri" w:hAnsi="Calibri" w:cs="Calibri"/>
          <w:vertAlign w:val="subscript"/>
        </w:rPr>
        <w:t>s</w:t>
      </w:r>
      <w:r>
        <w:rPr>
          <w:rFonts w:ascii="Calibri" w:hAnsi="Calibri" w:cs="Calibri"/>
        </w:rPr>
        <w:t>, of the total electron density, n, is superconducting (am presuming we eliminate the last term, ‘cause we’re keeping our analysis restricted to small currents?) and our Maxwell equations:</w:t>
      </w:r>
    </w:p>
    <w:p w14:paraId="58BDB8A0" w14:textId="77777777" w:rsidR="00153F6B" w:rsidRDefault="00153F6B" w:rsidP="00153F6B">
      <w:pPr>
        <w:rPr>
          <w:rFonts w:ascii="Calibri" w:hAnsi="Calibri" w:cs="Calibri"/>
        </w:rPr>
      </w:pPr>
    </w:p>
    <w:p w14:paraId="0160A4ED" w14:textId="77777777" w:rsidR="00153F6B" w:rsidRDefault="00153F6B" w:rsidP="00153F6B">
      <w:pPr>
        <w:rPr>
          <w:rFonts w:ascii="Calibri" w:hAnsi="Calibri" w:cs="Calibri"/>
        </w:rPr>
      </w:pPr>
      <w:r w:rsidRPr="007F3A90">
        <w:rPr>
          <w:rFonts w:ascii="Calibri" w:hAnsi="Calibri" w:cs="Calibri"/>
          <w:position w:val="-94"/>
        </w:rPr>
        <w:object w:dxaOrig="3040" w:dyaOrig="2000" w14:anchorId="48506F91">
          <v:shape id="_x0000_i1026" type="#_x0000_t75" style="width:151.65pt;height:100.35pt" o:ole="">
            <v:imagedata r:id="rId8" o:title=""/>
          </v:shape>
          <o:OLEObject Type="Embed" ProgID="Equation.DSMT4" ShapeID="_x0000_i1026" DrawAspect="Content" ObjectID="_1699097386" r:id="rId9"/>
        </w:object>
      </w:r>
    </w:p>
    <w:p w14:paraId="73A3C08E" w14:textId="77777777" w:rsidR="00153F6B" w:rsidRDefault="00153F6B" w:rsidP="00153F6B">
      <w:pPr>
        <w:rPr>
          <w:rFonts w:ascii="Calibri" w:hAnsi="Calibri" w:cs="Calibri"/>
        </w:rPr>
      </w:pPr>
    </w:p>
    <w:p w14:paraId="6C1F0B15" w14:textId="77777777" w:rsidR="00153F6B" w:rsidRDefault="00153F6B" w:rsidP="00153F6B">
      <w:pPr>
        <w:rPr>
          <w:rFonts w:ascii="Calibri" w:hAnsi="Calibri" w:cs="Calibri"/>
        </w:rPr>
      </w:pPr>
      <w:r>
        <w:rPr>
          <w:rFonts w:ascii="Calibri" w:hAnsi="Calibri" w:cs="Calibri"/>
        </w:rPr>
        <w:t>Again, instead of using the current kinematics equation to solve for j</w:t>
      </w:r>
      <w:r>
        <w:rPr>
          <w:rFonts w:ascii="Calibri" w:hAnsi="Calibri" w:cs="Calibri"/>
          <w:vertAlign w:val="subscript"/>
        </w:rPr>
        <w:t>ind</w:t>
      </w:r>
      <w:r>
        <w:rPr>
          <w:rFonts w:ascii="Calibri" w:hAnsi="Calibri" w:cs="Calibri"/>
        </w:rPr>
        <w:t xml:space="preserve"> in terms of E, we’ll do the reverse, and plug into the third equation.  Like we did in the previous file, we’ll also neglect the EM wave generating term in the fourth equation, to presume we’re keeping things in equilibrium.  And then we have for the third ME equation:</w:t>
      </w:r>
    </w:p>
    <w:p w14:paraId="7DF927FA" w14:textId="77777777" w:rsidR="00153F6B" w:rsidRDefault="00153F6B" w:rsidP="00153F6B">
      <w:pPr>
        <w:rPr>
          <w:rFonts w:ascii="Calibri" w:hAnsi="Calibri" w:cs="Calibri"/>
        </w:rPr>
      </w:pPr>
    </w:p>
    <w:p w14:paraId="5A7F8BB1" w14:textId="77777777" w:rsidR="00153F6B" w:rsidRDefault="00153F6B" w:rsidP="00153F6B">
      <w:pPr>
        <w:rPr>
          <w:rFonts w:ascii="Calibri" w:hAnsi="Calibri" w:cs="Calibri"/>
        </w:rPr>
      </w:pPr>
      <w:r w:rsidRPr="000740B6">
        <w:rPr>
          <w:rFonts w:ascii="Calibri" w:hAnsi="Calibri" w:cs="Calibri"/>
          <w:position w:val="-138"/>
        </w:rPr>
        <w:object w:dxaOrig="3860" w:dyaOrig="2880" w14:anchorId="50D4F334">
          <v:shape id="_x0000_i1027" type="#_x0000_t75" style="width:190.9pt;height:144.55pt" o:ole="">
            <v:imagedata r:id="rId10" o:title=""/>
          </v:shape>
          <o:OLEObject Type="Embed" ProgID="Equation.DSMT4" ShapeID="_x0000_i1027" DrawAspect="Content" ObjectID="_1699097387" r:id="rId11"/>
        </w:object>
      </w:r>
    </w:p>
    <w:p w14:paraId="6A1EF877" w14:textId="77777777" w:rsidR="00153F6B" w:rsidRDefault="00153F6B" w:rsidP="00153F6B">
      <w:pPr>
        <w:rPr>
          <w:rFonts w:ascii="Calibri" w:hAnsi="Calibri" w:cs="Calibri"/>
        </w:rPr>
      </w:pPr>
    </w:p>
    <w:p w14:paraId="412ECE0A" w14:textId="77777777" w:rsidR="00153F6B" w:rsidRDefault="00153F6B" w:rsidP="00153F6B">
      <w:pPr>
        <w:rPr>
          <w:rFonts w:ascii="Calibri" w:hAnsi="Calibri" w:cs="Calibri"/>
        </w:rPr>
      </w:pPr>
      <w:r>
        <w:rPr>
          <w:rFonts w:ascii="Calibri" w:hAnsi="Calibri" w:cs="Calibri"/>
        </w:rPr>
        <w:t>and fourth equation,</w:t>
      </w:r>
    </w:p>
    <w:p w14:paraId="3BA3232F" w14:textId="77777777" w:rsidR="00153F6B" w:rsidRDefault="00153F6B" w:rsidP="00153F6B">
      <w:pPr>
        <w:rPr>
          <w:rFonts w:ascii="Calibri" w:hAnsi="Calibri" w:cs="Calibri"/>
        </w:rPr>
      </w:pPr>
    </w:p>
    <w:p w14:paraId="7C899BD6" w14:textId="77777777" w:rsidR="00153F6B" w:rsidRDefault="00153F6B" w:rsidP="00153F6B">
      <w:pPr>
        <w:rPr>
          <w:rFonts w:ascii="Calibri" w:hAnsi="Calibri" w:cs="Calibri"/>
        </w:rPr>
      </w:pPr>
      <w:r w:rsidRPr="000740B6">
        <w:rPr>
          <w:rFonts w:ascii="Calibri" w:hAnsi="Calibri" w:cs="Calibri"/>
          <w:position w:val="-16"/>
        </w:rPr>
        <w:object w:dxaOrig="2040" w:dyaOrig="440" w14:anchorId="1482F074">
          <v:shape id="_x0000_i1028" type="#_x0000_t75" style="width:100.9pt;height:22.35pt" o:ole="">
            <v:imagedata r:id="rId12" o:title=""/>
          </v:shape>
          <o:OLEObject Type="Embed" ProgID="Equation.DSMT4" ShapeID="_x0000_i1028" DrawAspect="Content" ObjectID="_1699097388" r:id="rId13"/>
        </w:object>
      </w:r>
    </w:p>
    <w:p w14:paraId="462C51CF" w14:textId="77777777" w:rsidR="00153F6B" w:rsidRDefault="00153F6B" w:rsidP="00153F6B">
      <w:pPr>
        <w:rPr>
          <w:rFonts w:ascii="Calibri" w:hAnsi="Calibri" w:cs="Calibri"/>
        </w:rPr>
      </w:pPr>
    </w:p>
    <w:p w14:paraId="2D4B4FC9" w14:textId="77777777" w:rsidR="00153F6B" w:rsidRDefault="00153F6B" w:rsidP="00153F6B">
      <w:pPr>
        <w:rPr>
          <w:rFonts w:ascii="Calibri" w:hAnsi="Calibri" w:cs="Calibri"/>
        </w:rPr>
      </w:pPr>
      <w:r>
        <w:rPr>
          <w:rFonts w:ascii="Calibri" w:hAnsi="Calibri" w:cs="Calibri"/>
        </w:rPr>
        <w:t>Working on the top equation (3</w:t>
      </w:r>
      <w:r w:rsidRPr="000740B6">
        <w:rPr>
          <w:rFonts w:ascii="Calibri" w:hAnsi="Calibri" w:cs="Calibri"/>
          <w:vertAlign w:val="superscript"/>
        </w:rPr>
        <w:t>rd</w:t>
      </w:r>
      <w:r>
        <w:rPr>
          <w:rFonts w:ascii="Calibri" w:hAnsi="Calibri" w:cs="Calibri"/>
        </w:rPr>
        <w:t xml:space="preserve"> Maxwell),</w:t>
      </w:r>
    </w:p>
    <w:p w14:paraId="3D40A6D7" w14:textId="77777777" w:rsidR="00153F6B" w:rsidRDefault="00153F6B" w:rsidP="00153F6B">
      <w:pPr>
        <w:rPr>
          <w:rFonts w:ascii="Calibri" w:hAnsi="Calibri" w:cs="Calibri"/>
        </w:rPr>
      </w:pPr>
    </w:p>
    <w:p w14:paraId="744D5141" w14:textId="77777777" w:rsidR="00153F6B" w:rsidRDefault="00153F6B" w:rsidP="00153F6B">
      <w:pPr>
        <w:rPr>
          <w:rFonts w:ascii="Calibri" w:hAnsi="Calibri" w:cs="Calibri"/>
        </w:rPr>
      </w:pPr>
      <w:r w:rsidRPr="00A2463F">
        <w:rPr>
          <w:rFonts w:ascii="Calibri" w:hAnsi="Calibri" w:cs="Calibri"/>
          <w:position w:val="-100"/>
        </w:rPr>
        <w:object w:dxaOrig="4160" w:dyaOrig="2120" w14:anchorId="7E4F4E74">
          <v:shape id="_x0000_i1029" type="#_x0000_t75" style="width:207.8pt;height:106.35pt" o:ole="">
            <v:imagedata r:id="rId14" o:title=""/>
          </v:shape>
          <o:OLEObject Type="Embed" ProgID="Equation.DSMT4" ShapeID="_x0000_i1029" DrawAspect="Content" ObjectID="_1699097389" r:id="rId15"/>
        </w:object>
      </w:r>
    </w:p>
    <w:p w14:paraId="553331EF" w14:textId="77777777" w:rsidR="00153F6B" w:rsidRDefault="00153F6B" w:rsidP="00153F6B">
      <w:pPr>
        <w:rPr>
          <w:rFonts w:ascii="Calibri" w:hAnsi="Calibri" w:cs="Calibri"/>
        </w:rPr>
      </w:pPr>
    </w:p>
    <w:p w14:paraId="280F7977" w14:textId="78244B13" w:rsidR="00153F6B" w:rsidRDefault="00153F6B" w:rsidP="00153F6B">
      <w:pPr>
        <w:rPr>
          <w:rFonts w:ascii="Calibri" w:hAnsi="Calibri" w:cs="Calibri"/>
        </w:rPr>
      </w:pPr>
      <w:r>
        <w:rPr>
          <w:rFonts w:ascii="Calibri" w:hAnsi="Calibri" w:cs="Calibri"/>
        </w:rPr>
        <w:t>Then we might specify the time-independent constant to be 0, as we did before, for superconductors,</w:t>
      </w:r>
      <w:r w:rsidR="002E19B3">
        <w:rPr>
          <w:rFonts w:ascii="Calibri" w:hAnsi="Calibri" w:cs="Calibri"/>
        </w:rPr>
        <w:t xml:space="preserve"> so that,</w:t>
      </w:r>
    </w:p>
    <w:p w14:paraId="74B38353" w14:textId="77777777" w:rsidR="00153F6B" w:rsidRDefault="00153F6B" w:rsidP="00153F6B">
      <w:pPr>
        <w:rPr>
          <w:rFonts w:ascii="Calibri" w:hAnsi="Calibri" w:cs="Calibri"/>
        </w:rPr>
      </w:pPr>
    </w:p>
    <w:p w14:paraId="25C1F0BA" w14:textId="40C13837" w:rsidR="00153F6B" w:rsidRPr="004E0E88" w:rsidRDefault="002E19B3" w:rsidP="00153F6B">
      <w:pPr>
        <w:rPr>
          <w:rFonts w:ascii="Calibri" w:hAnsi="Calibri" w:cs="Calibri"/>
        </w:rPr>
      </w:pPr>
      <w:r w:rsidRPr="002E19B3">
        <w:rPr>
          <w:rFonts w:ascii="Calibri" w:hAnsi="Calibri" w:cs="Calibri"/>
          <w:position w:val="-24"/>
        </w:rPr>
        <w:object w:dxaOrig="3440" w:dyaOrig="660" w14:anchorId="4381C0CF">
          <v:shape id="_x0000_i1030" type="#_x0000_t75" style="width:172.35pt;height:33.8pt" o:ole="" fillcolor="#cfc">
            <v:imagedata r:id="rId16" o:title=""/>
          </v:shape>
          <o:OLEObject Type="Embed" ProgID="Equation.DSMT4" ShapeID="_x0000_i1030" DrawAspect="Content" ObjectID="_1699097390" r:id="rId17"/>
        </w:object>
      </w:r>
    </w:p>
    <w:p w14:paraId="005322FF" w14:textId="7BEBD0D7" w:rsidR="002E19B3" w:rsidRDefault="002E19B3" w:rsidP="00153F6B">
      <w:pPr>
        <w:rPr>
          <w:rFonts w:ascii="Calibri" w:hAnsi="Calibri" w:cs="Calibri"/>
        </w:rPr>
      </w:pPr>
    </w:p>
    <w:p w14:paraId="20B7B22B" w14:textId="48F294D6" w:rsidR="002E19B3" w:rsidRDefault="002E19B3" w:rsidP="00153F6B">
      <w:pPr>
        <w:rPr>
          <w:rFonts w:ascii="Calibri" w:hAnsi="Calibri" w:cs="Calibri"/>
        </w:rPr>
      </w:pPr>
      <w:r>
        <w:rPr>
          <w:rFonts w:ascii="Calibri" w:hAnsi="Calibri" w:cs="Calibri"/>
        </w:rPr>
        <w:t>Turns out our ansatz for j</w:t>
      </w:r>
      <w:r>
        <w:rPr>
          <w:rFonts w:ascii="Calibri" w:hAnsi="Calibri" w:cs="Calibri"/>
          <w:vertAlign w:val="subscript"/>
        </w:rPr>
        <w:t>ind</w:t>
      </w:r>
      <w:r>
        <w:rPr>
          <w:rFonts w:ascii="Calibri" w:hAnsi="Calibri" w:cs="Calibri"/>
        </w:rPr>
        <w:t xml:space="preserve"> that we used in the Type I file will also work here,</w:t>
      </w:r>
    </w:p>
    <w:p w14:paraId="1D44BECB" w14:textId="71583E8B" w:rsidR="002E19B3" w:rsidRDefault="002E19B3" w:rsidP="00153F6B">
      <w:pPr>
        <w:rPr>
          <w:rFonts w:ascii="Calibri" w:hAnsi="Calibri" w:cs="Calibri"/>
        </w:rPr>
      </w:pPr>
    </w:p>
    <w:p w14:paraId="616461AA" w14:textId="72FF3CC2" w:rsidR="002E19B3" w:rsidRDefault="002E19B3" w:rsidP="00153F6B">
      <w:r w:rsidRPr="00CB1240">
        <w:rPr>
          <w:position w:val="-24"/>
        </w:rPr>
        <w:object w:dxaOrig="2320" w:dyaOrig="660" w14:anchorId="06B616DF">
          <v:shape id="_x0000_i1031" type="#_x0000_t75" style="width:115.65pt;height:33.8pt" o:ole="" filled="t" fillcolor="#cfc">
            <v:imagedata r:id="rId18" o:title=""/>
          </v:shape>
          <o:OLEObject Type="Embed" ProgID="Equation.DSMT4" ShapeID="_x0000_i1031" DrawAspect="Content" ObjectID="_1699097391" r:id="rId19"/>
        </w:object>
      </w:r>
    </w:p>
    <w:p w14:paraId="44CACA13" w14:textId="32B70E73" w:rsidR="002E19B3" w:rsidRPr="002E19B3" w:rsidRDefault="002E19B3" w:rsidP="00153F6B">
      <w:pPr>
        <w:rPr>
          <w:rFonts w:asciiTheme="minorHAnsi" w:hAnsiTheme="minorHAnsi" w:cstheme="minorHAnsi"/>
        </w:rPr>
      </w:pPr>
    </w:p>
    <w:p w14:paraId="33B2198F" w14:textId="603C8DE8" w:rsidR="002E19B3" w:rsidRPr="002E19B3" w:rsidRDefault="002E19B3" w:rsidP="00153F6B">
      <w:pPr>
        <w:rPr>
          <w:rFonts w:asciiTheme="minorHAnsi" w:hAnsiTheme="minorHAnsi" w:cstheme="minorHAnsi"/>
        </w:rPr>
      </w:pPr>
      <w:r w:rsidRPr="002E19B3">
        <w:rPr>
          <w:rFonts w:asciiTheme="minorHAnsi" w:hAnsiTheme="minorHAnsi" w:cstheme="minorHAnsi"/>
        </w:rPr>
        <w:t xml:space="preserve">where for us, φ would again be just some unknown function.  Can see this </w:t>
      </w:r>
      <w:r w:rsidR="00550650">
        <w:rPr>
          <w:rFonts w:asciiTheme="minorHAnsi" w:hAnsiTheme="minorHAnsi" w:cstheme="minorHAnsi"/>
        </w:rPr>
        <w:t xml:space="preserve">ansatz </w:t>
      </w:r>
      <w:r w:rsidRPr="002E19B3">
        <w:rPr>
          <w:rFonts w:asciiTheme="minorHAnsi" w:hAnsiTheme="minorHAnsi" w:cstheme="minorHAnsi"/>
        </w:rPr>
        <w:t>works below:</w:t>
      </w:r>
    </w:p>
    <w:p w14:paraId="78EB3189" w14:textId="25CE6F67" w:rsidR="002E19B3" w:rsidRDefault="002E19B3" w:rsidP="00153F6B">
      <w:pPr>
        <w:rPr>
          <w:rFonts w:ascii="Calibri" w:hAnsi="Calibri" w:cs="Calibri"/>
        </w:rPr>
      </w:pPr>
    </w:p>
    <w:p w14:paraId="7B947F1B" w14:textId="1EC84730" w:rsidR="002E19B3" w:rsidRDefault="00550650" w:rsidP="00153F6B">
      <w:pPr>
        <w:rPr>
          <w:rFonts w:ascii="Calibri" w:hAnsi="Calibri" w:cs="Calibri"/>
        </w:rPr>
      </w:pPr>
      <w:r w:rsidRPr="00550650">
        <w:rPr>
          <w:position w:val="-146"/>
        </w:rPr>
        <w:object w:dxaOrig="6920" w:dyaOrig="3040" w14:anchorId="1970AE51">
          <v:shape id="_x0000_i1032" type="#_x0000_t75" style="width:346.9pt;height:151.65pt" o:ole="">
            <v:imagedata r:id="rId20" o:title=""/>
          </v:shape>
          <o:OLEObject Type="Embed" ProgID="Equation.DSMT4" ShapeID="_x0000_i1032" DrawAspect="Content" ObjectID="_1699097392" r:id="rId21"/>
        </w:object>
      </w:r>
    </w:p>
    <w:p w14:paraId="0B04FA34" w14:textId="77777777" w:rsidR="002E19B3" w:rsidRPr="004E0E88" w:rsidRDefault="002E19B3" w:rsidP="00153F6B">
      <w:pPr>
        <w:rPr>
          <w:rFonts w:ascii="Calibri" w:hAnsi="Calibri" w:cs="Calibri"/>
        </w:rPr>
      </w:pPr>
    </w:p>
    <w:p w14:paraId="67717736" w14:textId="4E54189E" w:rsidR="00153F6B" w:rsidRDefault="00550650" w:rsidP="00153F6B">
      <w:pPr>
        <w:rPr>
          <w:rFonts w:ascii="Calibri" w:hAnsi="Calibri" w:cs="Calibri"/>
        </w:rPr>
      </w:pPr>
      <w:r>
        <w:rPr>
          <w:rFonts w:ascii="Calibri" w:hAnsi="Calibri" w:cs="Calibri"/>
        </w:rPr>
        <w:t xml:space="preserve">And then to proceed, </w:t>
      </w:r>
      <w:r w:rsidR="00153F6B">
        <w:rPr>
          <w:rFonts w:ascii="Calibri" w:hAnsi="Calibri" w:cs="Calibri"/>
        </w:rPr>
        <w:t>we could combine this with the bottom (4</w:t>
      </w:r>
      <w:r w:rsidR="00153F6B" w:rsidRPr="00A2463F">
        <w:rPr>
          <w:rFonts w:ascii="Calibri" w:hAnsi="Calibri" w:cs="Calibri"/>
          <w:vertAlign w:val="superscript"/>
        </w:rPr>
        <w:t>th</w:t>
      </w:r>
      <w:r w:rsidR="00153F6B">
        <w:rPr>
          <w:rFonts w:ascii="Calibri" w:hAnsi="Calibri" w:cs="Calibri"/>
        </w:rPr>
        <w:t xml:space="preserve"> Maxwell) equation, in the metal’s interior, and say, </w:t>
      </w:r>
    </w:p>
    <w:p w14:paraId="06F74509" w14:textId="77777777" w:rsidR="00153F6B" w:rsidRDefault="00153F6B" w:rsidP="00153F6B">
      <w:pPr>
        <w:rPr>
          <w:rFonts w:ascii="Calibri" w:hAnsi="Calibri" w:cs="Calibri"/>
        </w:rPr>
      </w:pPr>
    </w:p>
    <w:p w14:paraId="57202BC1" w14:textId="3FD3DF88" w:rsidR="00153F6B" w:rsidRDefault="004026D4" w:rsidP="00153F6B">
      <w:pPr>
        <w:rPr>
          <w:rFonts w:ascii="Calibri" w:hAnsi="Calibri" w:cs="Calibri"/>
        </w:rPr>
      </w:pPr>
      <w:r w:rsidRPr="004026D4">
        <w:rPr>
          <w:rFonts w:ascii="Calibri" w:hAnsi="Calibri" w:cs="Calibri"/>
          <w:position w:val="-184"/>
        </w:rPr>
        <w:object w:dxaOrig="7380" w:dyaOrig="3800" w14:anchorId="63CEAB06">
          <v:shape id="_x0000_i1033" type="#_x0000_t75" style="width:371.45pt;height:190.9pt" o:ole="">
            <v:imagedata r:id="rId22" o:title=""/>
          </v:shape>
          <o:OLEObject Type="Embed" ProgID="Equation.DSMT4" ShapeID="_x0000_i1033" DrawAspect="Content" ObjectID="_1699097393" r:id="rId23"/>
        </w:object>
      </w:r>
    </w:p>
    <w:p w14:paraId="26020F41" w14:textId="380FEC68" w:rsidR="000D7C9B" w:rsidRDefault="000D7C9B" w:rsidP="00153F6B">
      <w:pPr>
        <w:rPr>
          <w:rFonts w:ascii="Calibri" w:hAnsi="Calibri" w:cs="Calibri"/>
        </w:rPr>
      </w:pPr>
    </w:p>
    <w:p w14:paraId="55ED29AC" w14:textId="09BB331D" w:rsidR="000D7C9B" w:rsidRDefault="00D974A3" w:rsidP="00153F6B">
      <w:pPr>
        <w:rPr>
          <w:rFonts w:ascii="Calibri" w:hAnsi="Calibri" w:cs="Calibri"/>
        </w:rPr>
      </w:pPr>
      <w:r>
        <w:rPr>
          <w:rFonts w:ascii="Calibri" w:hAnsi="Calibri" w:cs="Calibri"/>
        </w:rPr>
        <w:t>We can write it this way, FWIW,</w:t>
      </w:r>
    </w:p>
    <w:p w14:paraId="4E9544F4" w14:textId="4F8311E4" w:rsidR="000D7C9B" w:rsidRDefault="000D7C9B" w:rsidP="00153F6B">
      <w:pPr>
        <w:rPr>
          <w:rFonts w:ascii="Calibri" w:hAnsi="Calibri" w:cs="Calibri"/>
        </w:rPr>
      </w:pPr>
    </w:p>
    <w:p w14:paraId="72523C14" w14:textId="16BB7025" w:rsidR="000D7C9B" w:rsidRDefault="004026D4" w:rsidP="00153F6B">
      <w:pPr>
        <w:rPr>
          <w:rFonts w:ascii="Calibri" w:hAnsi="Calibri" w:cs="Calibri"/>
        </w:rPr>
      </w:pPr>
      <w:r w:rsidRPr="004026D4">
        <w:rPr>
          <w:rFonts w:ascii="Calibri" w:hAnsi="Calibri" w:cs="Calibri"/>
          <w:position w:val="-24"/>
        </w:rPr>
        <w:object w:dxaOrig="3440" w:dyaOrig="660" w14:anchorId="0FFA2884">
          <v:shape id="_x0000_i1034" type="#_x0000_t75" style="width:173.45pt;height:33.8pt" o:ole="" filled="t" fillcolor="#cfc">
            <v:imagedata r:id="rId24" o:title=""/>
          </v:shape>
          <o:OLEObject Type="Embed" ProgID="Equation.DSMT4" ShapeID="_x0000_i1034" DrawAspect="Content" ObjectID="_1699097394" r:id="rId25"/>
        </w:object>
      </w:r>
    </w:p>
    <w:p w14:paraId="083B81E1" w14:textId="77777777" w:rsidR="00153F6B" w:rsidRDefault="00153F6B" w:rsidP="00153F6B">
      <w:pPr>
        <w:rPr>
          <w:rFonts w:ascii="Calibri" w:hAnsi="Calibri" w:cs="Calibri"/>
        </w:rPr>
      </w:pPr>
    </w:p>
    <w:p w14:paraId="5BCF76E6" w14:textId="00E0B15C" w:rsidR="00DF1FB6" w:rsidRPr="00FA0015" w:rsidRDefault="00153F6B" w:rsidP="004026D4">
      <w:r>
        <w:rPr>
          <w:rFonts w:ascii="Calibri" w:hAnsi="Calibri" w:cs="Calibri"/>
        </w:rPr>
        <w:t xml:space="preserve">So now we have a source term in our Laplacian equation, which means </w:t>
      </w:r>
      <w:r w:rsidRPr="00812DBA">
        <w:rPr>
          <w:rFonts w:ascii="Calibri" w:hAnsi="Calibri" w:cs="Calibri"/>
          <w:b/>
        </w:rPr>
        <w:t>B</w:t>
      </w:r>
      <w:r>
        <w:rPr>
          <w:rFonts w:ascii="Calibri" w:hAnsi="Calibri" w:cs="Calibri"/>
        </w:rPr>
        <w:t xml:space="preserve"> doesn’t have to exponentially (or at all) damp inside the material.  </w:t>
      </w:r>
      <w:r w:rsidR="004026D4">
        <w:rPr>
          <w:rFonts w:asciiTheme="minorHAnsi" w:hAnsiTheme="minorHAnsi" w:cstheme="minorHAnsi"/>
        </w:rPr>
        <w:t>But we can see that if we eliminate spatial variations in n</w:t>
      </w:r>
      <w:r w:rsidR="004026D4">
        <w:rPr>
          <w:rFonts w:asciiTheme="minorHAnsi" w:hAnsiTheme="minorHAnsi" w:cstheme="minorHAnsi"/>
          <w:vertAlign w:val="subscript"/>
        </w:rPr>
        <w:t>s</w:t>
      </w:r>
      <w:r w:rsidR="004026D4">
        <w:rPr>
          <w:rFonts w:asciiTheme="minorHAnsi" w:hAnsiTheme="minorHAnsi" w:cstheme="minorHAnsi"/>
        </w:rPr>
        <w:t xml:space="preserve">, our equation reduces to the Type I guy.  </w:t>
      </w:r>
      <w:r w:rsidR="00D974A3">
        <w:rPr>
          <w:rFonts w:asciiTheme="minorHAnsi" w:hAnsiTheme="minorHAnsi" w:cstheme="minorHAnsi"/>
        </w:rPr>
        <w:t xml:space="preserve">Being very loose with this, a </w:t>
      </w:r>
      <w:r w:rsidR="00FA0015">
        <w:rPr>
          <w:rFonts w:asciiTheme="minorHAnsi" w:hAnsiTheme="minorHAnsi" w:cstheme="minorHAnsi"/>
        </w:rPr>
        <w:t xml:space="preserve">cylindrical column of </w:t>
      </w:r>
      <w:r w:rsidR="00D974A3">
        <w:rPr>
          <w:rFonts w:asciiTheme="minorHAnsi" w:hAnsiTheme="minorHAnsi" w:cstheme="minorHAnsi"/>
        </w:rPr>
        <w:t xml:space="preserve">undamped </w:t>
      </w:r>
      <w:r w:rsidR="00FA0015" w:rsidRPr="00D974A3">
        <w:rPr>
          <w:rFonts w:asciiTheme="minorHAnsi" w:hAnsiTheme="minorHAnsi" w:cstheme="minorHAnsi"/>
          <w:b/>
        </w:rPr>
        <w:t>B</w:t>
      </w:r>
      <w:r w:rsidR="00FA0015">
        <w:rPr>
          <w:rFonts w:asciiTheme="minorHAnsi" w:hAnsiTheme="minorHAnsi" w:cstheme="minorHAnsi"/>
        </w:rPr>
        <w:t xml:space="preserve"> </w:t>
      </w:r>
      <w:r w:rsidR="00D974A3">
        <w:rPr>
          <w:rFonts w:asciiTheme="minorHAnsi" w:hAnsiTheme="minorHAnsi" w:cstheme="minorHAnsi"/>
        </w:rPr>
        <w:t xml:space="preserve">penetrating the metal in the z-direction, would be consistent with a </w:t>
      </w:r>
      <w:r w:rsidR="00FA0015">
        <w:rPr>
          <w:rFonts w:asciiTheme="minorHAnsi" w:hAnsiTheme="minorHAnsi" w:cstheme="minorHAnsi"/>
        </w:rPr>
        <w:t>radial n</w:t>
      </w:r>
      <w:r w:rsidR="00FA0015">
        <w:rPr>
          <w:rFonts w:asciiTheme="minorHAnsi" w:hAnsiTheme="minorHAnsi" w:cstheme="minorHAnsi"/>
          <w:vertAlign w:val="subscript"/>
        </w:rPr>
        <w:t>s</w:t>
      </w:r>
      <w:r w:rsidR="00FA0015">
        <w:rPr>
          <w:rFonts w:asciiTheme="minorHAnsi" w:hAnsiTheme="minorHAnsi" w:cstheme="minorHAnsi"/>
        </w:rPr>
        <w:t xml:space="preserve"> gradient (n</w:t>
      </w:r>
      <w:r w:rsidR="00FA0015">
        <w:rPr>
          <w:rFonts w:asciiTheme="minorHAnsi" w:hAnsiTheme="minorHAnsi" w:cstheme="minorHAnsi"/>
          <w:vertAlign w:val="subscript"/>
        </w:rPr>
        <w:t>s</w:t>
      </w:r>
      <w:r w:rsidR="00FA0015">
        <w:rPr>
          <w:rFonts w:asciiTheme="minorHAnsi" w:hAnsiTheme="minorHAnsi" w:cstheme="minorHAnsi"/>
        </w:rPr>
        <w:t xml:space="preserve"> starting from 0 at center of column and increasing to average n</w:t>
      </w:r>
      <w:r w:rsidR="00FA0015">
        <w:rPr>
          <w:rFonts w:asciiTheme="minorHAnsi" w:hAnsiTheme="minorHAnsi" w:cstheme="minorHAnsi"/>
          <w:vertAlign w:val="subscript"/>
        </w:rPr>
        <w:t>s</w:t>
      </w:r>
      <w:r w:rsidR="00FA0015">
        <w:rPr>
          <w:rFonts w:asciiTheme="minorHAnsi" w:hAnsiTheme="minorHAnsi" w:cstheme="minorHAnsi"/>
        </w:rPr>
        <w:t xml:space="preserve"> density by column’s edge) say, and a radial </w:t>
      </w:r>
      <w:r w:rsidR="00FA0015" w:rsidRPr="000E4CF4">
        <w:rPr>
          <w:rFonts w:asciiTheme="minorHAnsi" w:hAnsiTheme="minorHAnsi" w:cstheme="minorHAnsi"/>
          <w:b/>
        </w:rPr>
        <w:t>j</w:t>
      </w:r>
      <w:r w:rsidR="00FA0015">
        <w:rPr>
          <w:rFonts w:asciiTheme="minorHAnsi" w:hAnsiTheme="minorHAnsi" w:cstheme="minorHAnsi"/>
          <w:vertAlign w:val="subscript"/>
        </w:rPr>
        <w:t>ind</w:t>
      </w:r>
      <w:r w:rsidR="00FA0015">
        <w:rPr>
          <w:rFonts w:asciiTheme="minorHAnsi" w:hAnsiTheme="minorHAnsi" w:cstheme="minorHAnsi"/>
        </w:rPr>
        <w:t xml:space="preserve"> gradient </w:t>
      </w:r>
      <w:r w:rsidR="000E4CF4">
        <w:rPr>
          <w:rFonts w:asciiTheme="minorHAnsi" w:hAnsiTheme="minorHAnsi" w:cstheme="minorHAnsi"/>
        </w:rPr>
        <w:t>(current circulating about the z-axis, with magnitude increasing from 0 at center of column to average j</w:t>
      </w:r>
      <w:r w:rsidR="000E4CF4">
        <w:rPr>
          <w:rFonts w:asciiTheme="minorHAnsi" w:hAnsiTheme="minorHAnsi" w:cstheme="minorHAnsi"/>
          <w:vertAlign w:val="subscript"/>
        </w:rPr>
        <w:t>ind</w:t>
      </w:r>
      <w:r w:rsidR="000E4CF4">
        <w:rPr>
          <w:rFonts w:asciiTheme="minorHAnsi" w:hAnsiTheme="minorHAnsi" w:cstheme="minorHAnsi"/>
        </w:rPr>
        <w:t xml:space="preserve"> by column’s edge).</w:t>
      </w:r>
      <w:r w:rsidR="00FA0015">
        <w:rPr>
          <w:rFonts w:asciiTheme="minorHAnsi" w:hAnsiTheme="minorHAnsi" w:cstheme="minorHAnsi"/>
        </w:rPr>
        <w:t xml:space="preserve"> </w:t>
      </w:r>
      <w:r w:rsidR="000E4CF4">
        <w:rPr>
          <w:rFonts w:asciiTheme="minorHAnsi" w:hAnsiTheme="minorHAnsi" w:cstheme="minorHAnsi"/>
        </w:rPr>
        <w:t xml:space="preserve"> </w:t>
      </w:r>
      <w:r w:rsidR="00FA0015">
        <w:rPr>
          <w:rFonts w:asciiTheme="minorHAnsi" w:hAnsiTheme="minorHAnsi" w:cstheme="minorHAnsi"/>
        </w:rPr>
        <w:t xml:space="preserve">This </w:t>
      </w:r>
      <w:r w:rsidR="000E4CF4">
        <w:rPr>
          <w:rFonts w:asciiTheme="minorHAnsi" w:hAnsiTheme="minorHAnsi" w:cstheme="minorHAnsi"/>
        </w:rPr>
        <w:t xml:space="preserve">is evocative of vortices that the </w:t>
      </w:r>
      <w:r w:rsidR="000E4CF4" w:rsidRPr="000E4CF4">
        <w:rPr>
          <w:rFonts w:asciiTheme="minorHAnsi" w:hAnsiTheme="minorHAnsi" w:cstheme="minorHAnsi"/>
          <w:b/>
        </w:rPr>
        <w:t>B</w:t>
      </w:r>
      <w:r w:rsidR="000E4CF4">
        <w:rPr>
          <w:rFonts w:asciiTheme="minorHAnsi" w:hAnsiTheme="minorHAnsi" w:cstheme="minorHAnsi"/>
        </w:rPr>
        <w:t xml:space="preserve"> field forms when penetrating the metal.</w:t>
      </w:r>
    </w:p>
    <w:p w14:paraId="4E449E32" w14:textId="322C5AAC" w:rsidR="00DB58CF" w:rsidRDefault="00DB58CF" w:rsidP="004E0E88">
      <w:pPr>
        <w:rPr>
          <w:rFonts w:ascii="Calibri" w:hAnsi="Calibri" w:cs="Calibri"/>
        </w:rPr>
      </w:pPr>
    </w:p>
    <w:p w14:paraId="3A88B352" w14:textId="3DD68D9D" w:rsidR="000E4CF4" w:rsidRPr="00E03F72" w:rsidRDefault="007D7B10" w:rsidP="000E4CF4">
      <w:pPr>
        <w:rPr>
          <w:rFonts w:ascii="Calibri" w:hAnsi="Calibri" w:cs="Calibri"/>
          <w:b/>
          <w:sz w:val="28"/>
          <w:szCs w:val="28"/>
        </w:rPr>
      </w:pPr>
      <w:r>
        <w:rPr>
          <w:rFonts w:ascii="Calibri" w:hAnsi="Calibri" w:cs="Calibri"/>
          <w:b/>
          <w:sz w:val="28"/>
          <w:szCs w:val="28"/>
        </w:rPr>
        <w:t xml:space="preserve">Revisiting Meisner effect via </w:t>
      </w:r>
      <w:r w:rsidR="000E4CF4" w:rsidRPr="00E03F72">
        <w:rPr>
          <w:rFonts w:ascii="Calibri" w:hAnsi="Calibri" w:cs="Calibri"/>
          <w:b/>
          <w:sz w:val="28"/>
          <w:szCs w:val="28"/>
        </w:rPr>
        <w:t>BCS theory of Superconductors</w:t>
      </w:r>
    </w:p>
    <w:p w14:paraId="295428FB" w14:textId="496F7466" w:rsidR="000E4CF4" w:rsidRDefault="007D7B10" w:rsidP="000E4CF4">
      <w:pPr>
        <w:rPr>
          <w:rFonts w:ascii="Calibri" w:hAnsi="Calibri" w:cs="Calibri"/>
        </w:rPr>
      </w:pPr>
      <w:r>
        <w:rPr>
          <w:rFonts w:ascii="Calibri" w:hAnsi="Calibri" w:cs="Calibri"/>
        </w:rPr>
        <w:t>So we can revisit our analysis of Type I conductors.  Starting with H, we have:</w:t>
      </w:r>
    </w:p>
    <w:p w14:paraId="1CB4F702" w14:textId="77777777" w:rsidR="000E4CF4" w:rsidRDefault="000E4CF4" w:rsidP="000E4CF4">
      <w:pPr>
        <w:rPr>
          <w:rFonts w:ascii="Calibri" w:hAnsi="Calibri" w:cs="Calibri"/>
        </w:rPr>
      </w:pPr>
    </w:p>
    <w:p w14:paraId="6574C8B0" w14:textId="77777777" w:rsidR="000E4CF4" w:rsidRDefault="000E4CF4" w:rsidP="000E4CF4">
      <w:r w:rsidRPr="001C6E09">
        <w:rPr>
          <w:position w:val="-28"/>
        </w:rPr>
        <w:object w:dxaOrig="8180" w:dyaOrig="660" w14:anchorId="01FF3695">
          <v:shape id="_x0000_i1035" type="#_x0000_t75" style="width:408.55pt;height:33.8pt" o:ole="" filled="t" fillcolor="#cfc">
            <v:imagedata r:id="rId26" o:title=""/>
          </v:shape>
          <o:OLEObject Type="Embed" ProgID="Equation.DSMT4" ShapeID="_x0000_i1035" DrawAspect="Content" ObjectID="_1699097395" r:id="rId27"/>
        </w:object>
      </w:r>
    </w:p>
    <w:p w14:paraId="4C43F449" w14:textId="77777777" w:rsidR="000E4CF4" w:rsidRPr="001C6E09" w:rsidRDefault="000E4CF4" w:rsidP="000E4CF4">
      <w:pPr>
        <w:rPr>
          <w:rFonts w:asciiTheme="minorHAnsi" w:hAnsiTheme="minorHAnsi" w:cstheme="minorHAnsi"/>
        </w:rPr>
      </w:pPr>
    </w:p>
    <w:p w14:paraId="65FF6105" w14:textId="77777777" w:rsidR="000E4CF4" w:rsidRPr="001C6E09" w:rsidRDefault="000E4CF4" w:rsidP="000E4CF4">
      <w:pPr>
        <w:rPr>
          <w:rFonts w:asciiTheme="minorHAnsi" w:hAnsiTheme="minorHAnsi" w:cstheme="minorHAnsi"/>
        </w:rPr>
      </w:pPr>
      <w:r w:rsidRPr="001C6E09">
        <w:rPr>
          <w:rFonts w:asciiTheme="minorHAnsi" w:hAnsiTheme="minorHAnsi" w:cstheme="minorHAnsi"/>
        </w:rPr>
        <w:t>where A is the vector potential, and j</w:t>
      </w:r>
      <w:r w:rsidRPr="001C6E09">
        <w:rPr>
          <w:rFonts w:asciiTheme="minorHAnsi" w:hAnsiTheme="minorHAnsi" w:cstheme="minorHAnsi"/>
          <w:vertAlign w:val="superscript"/>
        </w:rPr>
        <w:t>p</w:t>
      </w:r>
      <w:r w:rsidRPr="001C6E09">
        <w:rPr>
          <w:rFonts w:asciiTheme="minorHAnsi" w:hAnsiTheme="minorHAnsi" w:cstheme="minorHAnsi"/>
        </w:rPr>
        <w:t xml:space="preserve"> the paramagnetic current density,</w:t>
      </w:r>
    </w:p>
    <w:p w14:paraId="1139E81E" w14:textId="77777777" w:rsidR="000E4CF4" w:rsidRDefault="000E4CF4" w:rsidP="000E4CF4">
      <w:pPr>
        <w:rPr>
          <w:rFonts w:ascii="Calibri" w:hAnsi="Calibri" w:cs="Calibri"/>
        </w:rPr>
      </w:pPr>
    </w:p>
    <w:p w14:paraId="758A7E91" w14:textId="77777777" w:rsidR="000E4CF4" w:rsidRDefault="000E4CF4" w:rsidP="000E4CF4">
      <w:pPr>
        <w:rPr>
          <w:rFonts w:ascii="Calibri" w:hAnsi="Calibri" w:cs="Calibri"/>
        </w:rPr>
      </w:pPr>
      <w:r w:rsidRPr="004D5579">
        <w:rPr>
          <w:position w:val="-30"/>
        </w:rPr>
        <w:object w:dxaOrig="6640" w:dyaOrig="700" w14:anchorId="36DDA3BB">
          <v:shape id="_x0000_i1036" type="#_x0000_t75" style="width:329.45pt;height:36pt" o:ole="">
            <v:imagedata r:id="rId28" o:title=""/>
          </v:shape>
          <o:OLEObject Type="Embed" ProgID="Equation.DSMT4" ShapeID="_x0000_i1036" DrawAspect="Content" ObjectID="_1699097396" r:id="rId29"/>
        </w:object>
      </w:r>
    </w:p>
    <w:p w14:paraId="5D267F4E" w14:textId="77777777" w:rsidR="000E4CF4" w:rsidRDefault="000E4CF4" w:rsidP="000E4CF4">
      <w:pPr>
        <w:rPr>
          <w:rFonts w:ascii="Calibri" w:hAnsi="Calibri" w:cs="Calibri"/>
        </w:rPr>
      </w:pPr>
    </w:p>
    <w:p w14:paraId="28EEAC47" w14:textId="77777777" w:rsidR="000E4CF4" w:rsidRDefault="000E4CF4" w:rsidP="000E4CF4">
      <w:pPr>
        <w:rPr>
          <w:rFonts w:ascii="Calibri" w:hAnsi="Calibri" w:cs="Calibri"/>
        </w:rPr>
      </w:pPr>
      <w:r>
        <w:rPr>
          <w:rFonts w:ascii="Calibri" w:hAnsi="Calibri" w:cs="Calibri"/>
        </w:rPr>
        <w:t>And from the Metals/Impurities/Nonequilibrium/Conduction/Quantum file, we derived the relationship:</w:t>
      </w:r>
    </w:p>
    <w:p w14:paraId="6753EA92" w14:textId="77777777" w:rsidR="000E4CF4" w:rsidRDefault="000E4CF4" w:rsidP="000E4CF4">
      <w:pPr>
        <w:rPr>
          <w:rFonts w:ascii="Calibri" w:hAnsi="Calibri" w:cs="Calibri"/>
        </w:rPr>
      </w:pPr>
    </w:p>
    <w:p w14:paraId="195AC785" w14:textId="77777777" w:rsidR="000E4CF4" w:rsidRDefault="000E4CF4" w:rsidP="000E4CF4">
      <w:pPr>
        <w:rPr>
          <w:rFonts w:ascii="Calibri" w:hAnsi="Calibri" w:cs="Calibri"/>
        </w:rPr>
      </w:pPr>
      <w:r w:rsidRPr="00E8721A">
        <w:rPr>
          <w:rFonts w:ascii="MS Sans Serif" w:hAnsi="MS Sans Serif" w:cs="MS Sans Serif"/>
          <w:position w:val="-32"/>
          <w:sz w:val="20"/>
          <w:szCs w:val="20"/>
        </w:rPr>
        <w:object w:dxaOrig="3920" w:dyaOrig="760" w14:anchorId="6FDF2037">
          <v:shape id="_x0000_i1037" type="#_x0000_t75" style="width:195.25pt;height:38.2pt" o:ole="" fillcolor="#cfc">
            <v:imagedata r:id="rId30" o:title=""/>
          </v:shape>
          <o:OLEObject Type="Embed" ProgID="Equation.DSMT4" ShapeID="_x0000_i1037" DrawAspect="Content" ObjectID="_1699097397" r:id="rId31"/>
        </w:object>
      </w:r>
    </w:p>
    <w:p w14:paraId="4AA5030C" w14:textId="77777777" w:rsidR="000E4CF4" w:rsidRDefault="000E4CF4" w:rsidP="000E4CF4">
      <w:pPr>
        <w:rPr>
          <w:rFonts w:ascii="Calibri" w:hAnsi="Calibri" w:cs="Calibri"/>
        </w:rPr>
      </w:pPr>
    </w:p>
    <w:p w14:paraId="3772B302" w14:textId="77777777" w:rsidR="000E4CF4" w:rsidRDefault="000E4CF4" w:rsidP="000E4CF4">
      <w:pPr>
        <w:rPr>
          <w:rFonts w:ascii="Calibri" w:hAnsi="Calibri" w:cs="Calibri"/>
        </w:rPr>
      </w:pPr>
      <w:r>
        <w:rPr>
          <w:rFonts w:ascii="Calibri" w:hAnsi="Calibri" w:cs="Calibri"/>
        </w:rPr>
        <w:t xml:space="preserve">(no </w:t>
      </w:r>
      <w:r>
        <w:rPr>
          <w:rFonts w:ascii="Cambria Math" w:hAnsi="Cambria Math" w:cs="Calibri"/>
        </w:rPr>
        <w:t>∇</w:t>
      </w:r>
      <w:r>
        <w:rPr>
          <w:rFonts w:ascii="Calibri" w:hAnsi="Calibri" w:cs="Calibri"/>
        </w:rPr>
        <w:t xml:space="preserve">φ option here I guess) I’ll call the thing in brackets, </w:t>
      </w:r>
      <w:r w:rsidRPr="004E41DB">
        <w:rPr>
          <w:rFonts w:ascii="Calibri" w:hAnsi="Calibri" w:cs="Calibri"/>
          <w:b/>
        </w:rPr>
        <w:t>K</w:t>
      </w:r>
      <w:r>
        <w:rPr>
          <w:rFonts w:ascii="Calibri" w:hAnsi="Calibri" w:cs="Calibri"/>
        </w:rPr>
        <w:t>(q,ω).</w:t>
      </w:r>
    </w:p>
    <w:p w14:paraId="464A30CA" w14:textId="77777777" w:rsidR="000E4CF4" w:rsidRDefault="000E4CF4" w:rsidP="000E4CF4">
      <w:pPr>
        <w:rPr>
          <w:rFonts w:ascii="Calibri" w:hAnsi="Calibri" w:cs="Calibri"/>
        </w:rPr>
      </w:pPr>
    </w:p>
    <w:p w14:paraId="273E7FCA" w14:textId="77777777" w:rsidR="000E4CF4" w:rsidRDefault="000E4CF4" w:rsidP="000E4CF4">
      <w:pPr>
        <w:rPr>
          <w:rFonts w:ascii="MS Sans Serif" w:hAnsi="MS Sans Serif" w:cs="MS Sans Serif"/>
          <w:sz w:val="20"/>
          <w:szCs w:val="20"/>
        </w:rPr>
      </w:pPr>
      <w:r w:rsidRPr="00F737E1">
        <w:rPr>
          <w:rFonts w:ascii="MS Sans Serif" w:hAnsi="MS Sans Serif" w:cs="MS Sans Serif"/>
          <w:position w:val="-24"/>
          <w:sz w:val="20"/>
          <w:szCs w:val="20"/>
        </w:rPr>
        <w:object w:dxaOrig="6979" w:dyaOrig="660" w14:anchorId="5DE3C24F">
          <v:shape id="_x0000_i1038" type="#_x0000_t75" style="width:347.45pt;height:34.35pt" o:ole="" filled="t" fillcolor="#cfc">
            <v:imagedata r:id="rId32" o:title=""/>
          </v:shape>
          <o:OLEObject Type="Embed" ProgID="Equation.DSMT4" ShapeID="_x0000_i1038" DrawAspect="Content" ObjectID="_1699097398" r:id="rId33"/>
        </w:object>
      </w:r>
    </w:p>
    <w:p w14:paraId="23B92A06" w14:textId="77777777" w:rsidR="000E4CF4" w:rsidRDefault="000E4CF4" w:rsidP="000E4CF4">
      <w:pPr>
        <w:autoSpaceDE w:val="0"/>
        <w:autoSpaceDN w:val="0"/>
        <w:adjustRightInd w:val="0"/>
        <w:rPr>
          <w:rFonts w:ascii="Calibri" w:hAnsi="Calibri" w:cs="Calibri"/>
        </w:rPr>
      </w:pPr>
    </w:p>
    <w:p w14:paraId="118DE027" w14:textId="77777777" w:rsidR="000E4CF4" w:rsidRDefault="000E4CF4" w:rsidP="000E4CF4">
      <w:pPr>
        <w:autoSpaceDE w:val="0"/>
        <w:autoSpaceDN w:val="0"/>
        <w:adjustRightInd w:val="0"/>
        <w:rPr>
          <w:rFonts w:ascii="Calibri" w:hAnsi="Calibri" w:cs="Calibri"/>
        </w:rPr>
      </w:pPr>
      <w:r>
        <w:rPr>
          <w:rFonts w:ascii="Calibri" w:hAnsi="Calibri" w:cs="Calibri"/>
        </w:rPr>
        <w:t>And then we have an equation of the same form as the London equation.  And so we can equate,</w:t>
      </w:r>
    </w:p>
    <w:p w14:paraId="0ADD05F2" w14:textId="77777777" w:rsidR="000E4CF4" w:rsidRDefault="000E4CF4" w:rsidP="000E4CF4">
      <w:pPr>
        <w:autoSpaceDE w:val="0"/>
        <w:autoSpaceDN w:val="0"/>
        <w:adjustRightInd w:val="0"/>
        <w:rPr>
          <w:rFonts w:ascii="Calibri" w:hAnsi="Calibri" w:cs="Calibri"/>
        </w:rPr>
      </w:pPr>
    </w:p>
    <w:p w14:paraId="5C39DD38" w14:textId="77777777" w:rsidR="000E4CF4" w:rsidRDefault="000E4CF4" w:rsidP="000E4CF4">
      <w:pPr>
        <w:autoSpaceDE w:val="0"/>
        <w:autoSpaceDN w:val="0"/>
        <w:adjustRightInd w:val="0"/>
        <w:rPr>
          <w:rFonts w:ascii="Calibri" w:hAnsi="Calibri" w:cs="Calibri"/>
        </w:rPr>
      </w:pPr>
      <w:r w:rsidRPr="000B232D">
        <w:rPr>
          <w:position w:val="-24"/>
        </w:rPr>
        <w:object w:dxaOrig="2040" w:dyaOrig="660" w14:anchorId="05A232EF">
          <v:shape id="_x0000_i1039" type="#_x0000_t75" style="width:102pt;height:33.8pt" o:ole="" o:bordertopcolor="fuchsia" o:borderleftcolor="fuchsia" o:borderbottomcolor="fuchsia" o:borderrightcolor="fuchsia">
            <v:imagedata r:id="rId34" o:title=""/>
            <w10:bordertop type="single" width="8"/>
            <w10:borderleft type="single" width="8"/>
            <w10:borderbottom type="single" width="8"/>
            <w10:borderright type="single" width="8"/>
          </v:shape>
          <o:OLEObject Type="Embed" ProgID="Equation.DSMT4" ShapeID="_x0000_i1039" DrawAspect="Content" ObjectID="_1699097399" r:id="rId35"/>
        </w:object>
      </w:r>
    </w:p>
    <w:p w14:paraId="6A9F376C" w14:textId="53D1422C" w:rsidR="000E4CF4" w:rsidRDefault="000E4CF4" w:rsidP="004E0E88">
      <w:pPr>
        <w:rPr>
          <w:rFonts w:ascii="Calibri" w:hAnsi="Calibri" w:cs="Calibri"/>
        </w:rPr>
      </w:pPr>
    </w:p>
    <w:p w14:paraId="48DBB2F4" w14:textId="647A9F69" w:rsidR="007D7B10" w:rsidRPr="007D7B10" w:rsidRDefault="007D7B10" w:rsidP="007D7B10">
      <w:pPr>
        <w:rPr>
          <w:rFonts w:ascii="Calibri" w:hAnsi="Calibri" w:cs="Calibri"/>
        </w:rPr>
      </w:pPr>
      <w:r>
        <w:rPr>
          <w:rFonts w:ascii="Calibri" w:hAnsi="Calibri" w:cs="Calibri"/>
        </w:rPr>
        <w:t>So the Meisner effect is destroyed if we presume n</w:t>
      </w:r>
      <w:r>
        <w:rPr>
          <w:rFonts w:ascii="Calibri" w:hAnsi="Calibri" w:cs="Calibri"/>
          <w:vertAlign w:val="subscript"/>
        </w:rPr>
        <w:t>s</w:t>
      </w:r>
      <w:r>
        <w:rPr>
          <w:rFonts w:ascii="Calibri" w:hAnsi="Calibri" w:cs="Calibri"/>
        </w:rPr>
        <w:t xml:space="preserve"> is spatially dependent.  That’s consistent with our formalism here.  If we presume </w:t>
      </w:r>
      <w:r w:rsidRPr="007D7B10">
        <w:rPr>
          <w:rFonts w:ascii="Calibri" w:hAnsi="Calibri" w:cs="Calibri"/>
          <w:b/>
        </w:rPr>
        <w:t>K</w:t>
      </w:r>
      <w:r>
        <w:rPr>
          <w:rFonts w:ascii="Calibri" w:hAnsi="Calibri" w:cs="Calibri"/>
        </w:rPr>
        <w:t>(q,ω) is dependent on q, then n</w:t>
      </w:r>
      <w:r>
        <w:rPr>
          <w:rFonts w:ascii="Calibri" w:hAnsi="Calibri" w:cs="Calibri"/>
          <w:vertAlign w:val="subscript"/>
        </w:rPr>
        <w:t>s</w:t>
      </w:r>
      <w:r>
        <w:rPr>
          <w:rFonts w:ascii="Calibri" w:hAnsi="Calibri" w:cs="Calibri"/>
        </w:rPr>
        <w:t xml:space="preserve"> will be too.  And of course it will be spatially dependent then.  To work out what K(q,ω) is we merely have to</w:t>
      </w:r>
      <w:r w:rsidR="00E12EFD">
        <w:rPr>
          <w:rFonts w:ascii="Calibri" w:hAnsi="Calibri" w:cs="Calibri"/>
        </w:rPr>
        <w:t xml:space="preserve"> repeat our Type I calculation and</w:t>
      </w:r>
      <w:r>
        <w:rPr>
          <w:rFonts w:ascii="Calibri" w:hAnsi="Calibri" w:cs="Calibri"/>
        </w:rPr>
        <w:t xml:space="preserve"> not take q → 0.  But not gonna bother.  </w:t>
      </w:r>
    </w:p>
    <w:p w14:paraId="12E1F84C" w14:textId="77777777" w:rsidR="000E4CF4" w:rsidRDefault="000E4CF4" w:rsidP="004E0E88">
      <w:pPr>
        <w:rPr>
          <w:rFonts w:ascii="Calibri" w:hAnsi="Calibri" w:cs="Calibri"/>
        </w:rPr>
      </w:pPr>
    </w:p>
    <w:sectPr w:rsidR="000E4C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162CB"/>
    <w:rsid w:val="00017B0E"/>
    <w:rsid w:val="00017BBB"/>
    <w:rsid w:val="00023403"/>
    <w:rsid w:val="00036CD6"/>
    <w:rsid w:val="0003737A"/>
    <w:rsid w:val="00040A8D"/>
    <w:rsid w:val="00041BD3"/>
    <w:rsid w:val="000450FB"/>
    <w:rsid w:val="00045DA6"/>
    <w:rsid w:val="000570FB"/>
    <w:rsid w:val="00057B7D"/>
    <w:rsid w:val="00065CF9"/>
    <w:rsid w:val="00070A58"/>
    <w:rsid w:val="00070B60"/>
    <w:rsid w:val="0008531C"/>
    <w:rsid w:val="000911C3"/>
    <w:rsid w:val="00095985"/>
    <w:rsid w:val="00096DD3"/>
    <w:rsid w:val="000A1008"/>
    <w:rsid w:val="000A226E"/>
    <w:rsid w:val="000A3152"/>
    <w:rsid w:val="000A3A72"/>
    <w:rsid w:val="000A6265"/>
    <w:rsid w:val="000B3008"/>
    <w:rsid w:val="000B4A63"/>
    <w:rsid w:val="000B55C2"/>
    <w:rsid w:val="000D06DA"/>
    <w:rsid w:val="000D1060"/>
    <w:rsid w:val="000D3DD1"/>
    <w:rsid w:val="000D7C9B"/>
    <w:rsid w:val="000E0797"/>
    <w:rsid w:val="000E1CEE"/>
    <w:rsid w:val="000E4CF4"/>
    <w:rsid w:val="000E6A91"/>
    <w:rsid w:val="000F0131"/>
    <w:rsid w:val="000F1BD4"/>
    <w:rsid w:val="000F38C9"/>
    <w:rsid w:val="000F4099"/>
    <w:rsid w:val="000F464D"/>
    <w:rsid w:val="0010266F"/>
    <w:rsid w:val="001036C0"/>
    <w:rsid w:val="0010520A"/>
    <w:rsid w:val="001126E0"/>
    <w:rsid w:val="0011448A"/>
    <w:rsid w:val="00114D5A"/>
    <w:rsid w:val="00123630"/>
    <w:rsid w:val="00133FD8"/>
    <w:rsid w:val="00135D8F"/>
    <w:rsid w:val="00136351"/>
    <w:rsid w:val="00140756"/>
    <w:rsid w:val="00145EB4"/>
    <w:rsid w:val="001512EB"/>
    <w:rsid w:val="00153F6B"/>
    <w:rsid w:val="00157C71"/>
    <w:rsid w:val="00163225"/>
    <w:rsid w:val="00163D96"/>
    <w:rsid w:val="00163F8B"/>
    <w:rsid w:val="001654BC"/>
    <w:rsid w:val="0016643C"/>
    <w:rsid w:val="00167244"/>
    <w:rsid w:val="0018544E"/>
    <w:rsid w:val="0018562D"/>
    <w:rsid w:val="00185F73"/>
    <w:rsid w:val="001923C7"/>
    <w:rsid w:val="001A48AC"/>
    <w:rsid w:val="001C2587"/>
    <w:rsid w:val="001C3DA6"/>
    <w:rsid w:val="001C6E09"/>
    <w:rsid w:val="001E18F5"/>
    <w:rsid w:val="001E5A07"/>
    <w:rsid w:val="001E7994"/>
    <w:rsid w:val="001E79E7"/>
    <w:rsid w:val="001F1A42"/>
    <w:rsid w:val="001F1CE4"/>
    <w:rsid w:val="001F22D1"/>
    <w:rsid w:val="001F31D9"/>
    <w:rsid w:val="001F6E60"/>
    <w:rsid w:val="0020427B"/>
    <w:rsid w:val="00206E82"/>
    <w:rsid w:val="00213E1C"/>
    <w:rsid w:val="002156DB"/>
    <w:rsid w:val="00220C6A"/>
    <w:rsid w:val="002246CE"/>
    <w:rsid w:val="0023329D"/>
    <w:rsid w:val="00235455"/>
    <w:rsid w:val="00235F8D"/>
    <w:rsid w:val="00240434"/>
    <w:rsid w:val="00241550"/>
    <w:rsid w:val="002422AF"/>
    <w:rsid w:val="002451AB"/>
    <w:rsid w:val="00246B30"/>
    <w:rsid w:val="00247780"/>
    <w:rsid w:val="00247C6A"/>
    <w:rsid w:val="00250D74"/>
    <w:rsid w:val="00254E60"/>
    <w:rsid w:val="002572BB"/>
    <w:rsid w:val="0026286D"/>
    <w:rsid w:val="00263CF3"/>
    <w:rsid w:val="002746DA"/>
    <w:rsid w:val="00274711"/>
    <w:rsid w:val="002761C7"/>
    <w:rsid w:val="00276750"/>
    <w:rsid w:val="00277C82"/>
    <w:rsid w:val="00290A72"/>
    <w:rsid w:val="00290FE8"/>
    <w:rsid w:val="002967B6"/>
    <w:rsid w:val="002A0F19"/>
    <w:rsid w:val="002A5732"/>
    <w:rsid w:val="002A5948"/>
    <w:rsid w:val="002B3905"/>
    <w:rsid w:val="002B5623"/>
    <w:rsid w:val="002C01AF"/>
    <w:rsid w:val="002C3FAD"/>
    <w:rsid w:val="002C404C"/>
    <w:rsid w:val="002D14E0"/>
    <w:rsid w:val="002D5BBD"/>
    <w:rsid w:val="002D6EFE"/>
    <w:rsid w:val="002E02AF"/>
    <w:rsid w:val="002E04B2"/>
    <w:rsid w:val="002E19B3"/>
    <w:rsid w:val="002E24E4"/>
    <w:rsid w:val="002E57BA"/>
    <w:rsid w:val="002F68A2"/>
    <w:rsid w:val="003012D5"/>
    <w:rsid w:val="00301C77"/>
    <w:rsid w:val="0030252B"/>
    <w:rsid w:val="0032014E"/>
    <w:rsid w:val="00323038"/>
    <w:rsid w:val="00330F2B"/>
    <w:rsid w:val="00334A4D"/>
    <w:rsid w:val="0034557C"/>
    <w:rsid w:val="00345E9A"/>
    <w:rsid w:val="00347048"/>
    <w:rsid w:val="00350134"/>
    <w:rsid w:val="00355E41"/>
    <w:rsid w:val="00357A03"/>
    <w:rsid w:val="003600E1"/>
    <w:rsid w:val="00360F68"/>
    <w:rsid w:val="00366E1B"/>
    <w:rsid w:val="00366EF1"/>
    <w:rsid w:val="00380DE4"/>
    <w:rsid w:val="00381373"/>
    <w:rsid w:val="003856F6"/>
    <w:rsid w:val="00385B0A"/>
    <w:rsid w:val="00387F60"/>
    <w:rsid w:val="00394984"/>
    <w:rsid w:val="003A29F4"/>
    <w:rsid w:val="003A451D"/>
    <w:rsid w:val="003B2570"/>
    <w:rsid w:val="003B2C73"/>
    <w:rsid w:val="003B74FE"/>
    <w:rsid w:val="003C42D4"/>
    <w:rsid w:val="003C7E9B"/>
    <w:rsid w:val="003D1196"/>
    <w:rsid w:val="003D3AA6"/>
    <w:rsid w:val="003D6BFC"/>
    <w:rsid w:val="003E008D"/>
    <w:rsid w:val="003E4B28"/>
    <w:rsid w:val="003E720B"/>
    <w:rsid w:val="004011BE"/>
    <w:rsid w:val="004026D4"/>
    <w:rsid w:val="004074D3"/>
    <w:rsid w:val="004079C5"/>
    <w:rsid w:val="00413EBF"/>
    <w:rsid w:val="00416F32"/>
    <w:rsid w:val="00424473"/>
    <w:rsid w:val="00430DE4"/>
    <w:rsid w:val="00431301"/>
    <w:rsid w:val="0043198C"/>
    <w:rsid w:val="0043271A"/>
    <w:rsid w:val="00436E43"/>
    <w:rsid w:val="00443031"/>
    <w:rsid w:val="00443B08"/>
    <w:rsid w:val="00444501"/>
    <w:rsid w:val="00445ED0"/>
    <w:rsid w:val="004460E0"/>
    <w:rsid w:val="004508B8"/>
    <w:rsid w:val="004508C8"/>
    <w:rsid w:val="0045518C"/>
    <w:rsid w:val="004734A1"/>
    <w:rsid w:val="0047406F"/>
    <w:rsid w:val="00474867"/>
    <w:rsid w:val="00480185"/>
    <w:rsid w:val="0048585A"/>
    <w:rsid w:val="00485A4C"/>
    <w:rsid w:val="0048695A"/>
    <w:rsid w:val="00490A85"/>
    <w:rsid w:val="00491C5E"/>
    <w:rsid w:val="004920FA"/>
    <w:rsid w:val="00492E6D"/>
    <w:rsid w:val="00492F60"/>
    <w:rsid w:val="00495CFA"/>
    <w:rsid w:val="004A0027"/>
    <w:rsid w:val="004B2FFF"/>
    <w:rsid w:val="004B63A7"/>
    <w:rsid w:val="004C243D"/>
    <w:rsid w:val="004C3A4D"/>
    <w:rsid w:val="004C4EF9"/>
    <w:rsid w:val="004C5C6E"/>
    <w:rsid w:val="004D1139"/>
    <w:rsid w:val="004D4931"/>
    <w:rsid w:val="004D5579"/>
    <w:rsid w:val="004D7C10"/>
    <w:rsid w:val="004E0E88"/>
    <w:rsid w:val="004E40BB"/>
    <w:rsid w:val="004E41DB"/>
    <w:rsid w:val="004E69F8"/>
    <w:rsid w:val="004E7611"/>
    <w:rsid w:val="004F07D4"/>
    <w:rsid w:val="004F0E7B"/>
    <w:rsid w:val="004F10DC"/>
    <w:rsid w:val="004F402F"/>
    <w:rsid w:val="004F6D78"/>
    <w:rsid w:val="004F7D09"/>
    <w:rsid w:val="00504231"/>
    <w:rsid w:val="00511F16"/>
    <w:rsid w:val="00515490"/>
    <w:rsid w:val="0052786A"/>
    <w:rsid w:val="00527EE7"/>
    <w:rsid w:val="005313FF"/>
    <w:rsid w:val="00534160"/>
    <w:rsid w:val="005357D2"/>
    <w:rsid w:val="005378B7"/>
    <w:rsid w:val="0054157E"/>
    <w:rsid w:val="00543550"/>
    <w:rsid w:val="00544666"/>
    <w:rsid w:val="00544CC3"/>
    <w:rsid w:val="00547322"/>
    <w:rsid w:val="00550650"/>
    <w:rsid w:val="0055164A"/>
    <w:rsid w:val="00552EE1"/>
    <w:rsid w:val="005645A1"/>
    <w:rsid w:val="00564F22"/>
    <w:rsid w:val="00567B49"/>
    <w:rsid w:val="00573789"/>
    <w:rsid w:val="005755CB"/>
    <w:rsid w:val="0057568C"/>
    <w:rsid w:val="005770BE"/>
    <w:rsid w:val="005826AA"/>
    <w:rsid w:val="005863CD"/>
    <w:rsid w:val="00590C09"/>
    <w:rsid w:val="005957FD"/>
    <w:rsid w:val="00596492"/>
    <w:rsid w:val="00596B46"/>
    <w:rsid w:val="005A2D05"/>
    <w:rsid w:val="005A3B35"/>
    <w:rsid w:val="005A4306"/>
    <w:rsid w:val="005A5FD8"/>
    <w:rsid w:val="005B121C"/>
    <w:rsid w:val="005B65E1"/>
    <w:rsid w:val="005C345A"/>
    <w:rsid w:val="005C463C"/>
    <w:rsid w:val="005C656B"/>
    <w:rsid w:val="005D0DDC"/>
    <w:rsid w:val="005D67F6"/>
    <w:rsid w:val="005D745C"/>
    <w:rsid w:val="005E69AF"/>
    <w:rsid w:val="005F26B0"/>
    <w:rsid w:val="005F4E10"/>
    <w:rsid w:val="00600124"/>
    <w:rsid w:val="00604B91"/>
    <w:rsid w:val="00607814"/>
    <w:rsid w:val="00611943"/>
    <w:rsid w:val="00630DD3"/>
    <w:rsid w:val="00632226"/>
    <w:rsid w:val="00635144"/>
    <w:rsid w:val="00637585"/>
    <w:rsid w:val="00643A19"/>
    <w:rsid w:val="00654ADC"/>
    <w:rsid w:val="00655424"/>
    <w:rsid w:val="00657292"/>
    <w:rsid w:val="006772DA"/>
    <w:rsid w:val="00686096"/>
    <w:rsid w:val="00687E70"/>
    <w:rsid w:val="00692716"/>
    <w:rsid w:val="006A1A69"/>
    <w:rsid w:val="006A2C37"/>
    <w:rsid w:val="006A2E8D"/>
    <w:rsid w:val="006A5D74"/>
    <w:rsid w:val="006A6269"/>
    <w:rsid w:val="006B1108"/>
    <w:rsid w:val="006B1366"/>
    <w:rsid w:val="006B42FE"/>
    <w:rsid w:val="006B4996"/>
    <w:rsid w:val="006B4C3E"/>
    <w:rsid w:val="006C36E5"/>
    <w:rsid w:val="006C53AD"/>
    <w:rsid w:val="006C5898"/>
    <w:rsid w:val="006C6F13"/>
    <w:rsid w:val="006D27FD"/>
    <w:rsid w:val="006E7643"/>
    <w:rsid w:val="006F5589"/>
    <w:rsid w:val="006F6A2C"/>
    <w:rsid w:val="00702C06"/>
    <w:rsid w:val="00707576"/>
    <w:rsid w:val="00720D4A"/>
    <w:rsid w:val="007252AD"/>
    <w:rsid w:val="007278A9"/>
    <w:rsid w:val="00735AEA"/>
    <w:rsid w:val="00741E0D"/>
    <w:rsid w:val="00742BAA"/>
    <w:rsid w:val="00745019"/>
    <w:rsid w:val="007469AB"/>
    <w:rsid w:val="00747CFB"/>
    <w:rsid w:val="00750625"/>
    <w:rsid w:val="00755CE9"/>
    <w:rsid w:val="00762F31"/>
    <w:rsid w:val="0076407F"/>
    <w:rsid w:val="0076514A"/>
    <w:rsid w:val="00767E67"/>
    <w:rsid w:val="00777C52"/>
    <w:rsid w:val="007944DF"/>
    <w:rsid w:val="007A36C7"/>
    <w:rsid w:val="007A4211"/>
    <w:rsid w:val="007B0965"/>
    <w:rsid w:val="007B2884"/>
    <w:rsid w:val="007B5E6C"/>
    <w:rsid w:val="007B5E9E"/>
    <w:rsid w:val="007C0736"/>
    <w:rsid w:val="007C2C9A"/>
    <w:rsid w:val="007C301E"/>
    <w:rsid w:val="007C589A"/>
    <w:rsid w:val="007D7B10"/>
    <w:rsid w:val="007E3B89"/>
    <w:rsid w:val="007E4048"/>
    <w:rsid w:val="007E4359"/>
    <w:rsid w:val="007E7EC6"/>
    <w:rsid w:val="007F3A90"/>
    <w:rsid w:val="007F6804"/>
    <w:rsid w:val="008014EC"/>
    <w:rsid w:val="008017CE"/>
    <w:rsid w:val="0080228E"/>
    <w:rsid w:val="008127D9"/>
    <w:rsid w:val="00812DBA"/>
    <w:rsid w:val="00815340"/>
    <w:rsid w:val="00832EAF"/>
    <w:rsid w:val="0083355B"/>
    <w:rsid w:val="008351DF"/>
    <w:rsid w:val="00835C1F"/>
    <w:rsid w:val="00837A89"/>
    <w:rsid w:val="008410FD"/>
    <w:rsid w:val="00841CBC"/>
    <w:rsid w:val="008437F5"/>
    <w:rsid w:val="0084392E"/>
    <w:rsid w:val="00845FBD"/>
    <w:rsid w:val="00847508"/>
    <w:rsid w:val="00850F46"/>
    <w:rsid w:val="00853E75"/>
    <w:rsid w:val="008637D3"/>
    <w:rsid w:val="008765B5"/>
    <w:rsid w:val="00876680"/>
    <w:rsid w:val="00892184"/>
    <w:rsid w:val="008952BF"/>
    <w:rsid w:val="00897966"/>
    <w:rsid w:val="008A5A6C"/>
    <w:rsid w:val="008B11B1"/>
    <w:rsid w:val="008C1A98"/>
    <w:rsid w:val="008C2F39"/>
    <w:rsid w:val="008C2F49"/>
    <w:rsid w:val="008C63FA"/>
    <w:rsid w:val="008D09FE"/>
    <w:rsid w:val="008D11C8"/>
    <w:rsid w:val="008D2DA1"/>
    <w:rsid w:val="008D5D9B"/>
    <w:rsid w:val="008E2BE3"/>
    <w:rsid w:val="008E3BF1"/>
    <w:rsid w:val="008E5ECD"/>
    <w:rsid w:val="008F2399"/>
    <w:rsid w:val="008F69D2"/>
    <w:rsid w:val="0090286C"/>
    <w:rsid w:val="00905663"/>
    <w:rsid w:val="00910805"/>
    <w:rsid w:val="00910D16"/>
    <w:rsid w:val="009221DB"/>
    <w:rsid w:val="00927E46"/>
    <w:rsid w:val="00930608"/>
    <w:rsid w:val="0093521E"/>
    <w:rsid w:val="00936AE6"/>
    <w:rsid w:val="00941A9F"/>
    <w:rsid w:val="00947AAD"/>
    <w:rsid w:val="00950F72"/>
    <w:rsid w:val="00956BC9"/>
    <w:rsid w:val="0096698C"/>
    <w:rsid w:val="009737E6"/>
    <w:rsid w:val="00980E3E"/>
    <w:rsid w:val="00981BCE"/>
    <w:rsid w:val="00983D83"/>
    <w:rsid w:val="009B00BD"/>
    <w:rsid w:val="009B12C5"/>
    <w:rsid w:val="009C09C3"/>
    <w:rsid w:val="009C0AE8"/>
    <w:rsid w:val="009C1445"/>
    <w:rsid w:val="009C1669"/>
    <w:rsid w:val="009C7494"/>
    <w:rsid w:val="009D05D8"/>
    <w:rsid w:val="009E3836"/>
    <w:rsid w:val="009E7F48"/>
    <w:rsid w:val="009F3A6B"/>
    <w:rsid w:val="00A0126F"/>
    <w:rsid w:val="00A01301"/>
    <w:rsid w:val="00A02ADC"/>
    <w:rsid w:val="00A040A3"/>
    <w:rsid w:val="00A04751"/>
    <w:rsid w:val="00A057D9"/>
    <w:rsid w:val="00A07B22"/>
    <w:rsid w:val="00A14195"/>
    <w:rsid w:val="00A21F00"/>
    <w:rsid w:val="00A24A20"/>
    <w:rsid w:val="00A25C7A"/>
    <w:rsid w:val="00A2612E"/>
    <w:rsid w:val="00A26E90"/>
    <w:rsid w:val="00A352FF"/>
    <w:rsid w:val="00A37D62"/>
    <w:rsid w:val="00A4784C"/>
    <w:rsid w:val="00A640CD"/>
    <w:rsid w:val="00A672D4"/>
    <w:rsid w:val="00A71760"/>
    <w:rsid w:val="00A736B9"/>
    <w:rsid w:val="00A817C2"/>
    <w:rsid w:val="00A85046"/>
    <w:rsid w:val="00A90F93"/>
    <w:rsid w:val="00A93C30"/>
    <w:rsid w:val="00A95B46"/>
    <w:rsid w:val="00AA1AB2"/>
    <w:rsid w:val="00AB5665"/>
    <w:rsid w:val="00AB78E7"/>
    <w:rsid w:val="00AC3758"/>
    <w:rsid w:val="00AC3CD9"/>
    <w:rsid w:val="00AD052F"/>
    <w:rsid w:val="00AD0C9F"/>
    <w:rsid w:val="00AD407D"/>
    <w:rsid w:val="00AE3BDA"/>
    <w:rsid w:val="00AE4BBA"/>
    <w:rsid w:val="00AE6A60"/>
    <w:rsid w:val="00B03151"/>
    <w:rsid w:val="00B110E0"/>
    <w:rsid w:val="00B12DA9"/>
    <w:rsid w:val="00B12F9D"/>
    <w:rsid w:val="00B2662A"/>
    <w:rsid w:val="00B32394"/>
    <w:rsid w:val="00B33052"/>
    <w:rsid w:val="00B352A4"/>
    <w:rsid w:val="00B41FD6"/>
    <w:rsid w:val="00B5205E"/>
    <w:rsid w:val="00B5747F"/>
    <w:rsid w:val="00B60B86"/>
    <w:rsid w:val="00B62D85"/>
    <w:rsid w:val="00B6472B"/>
    <w:rsid w:val="00B65FD2"/>
    <w:rsid w:val="00B67039"/>
    <w:rsid w:val="00B72038"/>
    <w:rsid w:val="00B733A2"/>
    <w:rsid w:val="00B75A1E"/>
    <w:rsid w:val="00B77FBA"/>
    <w:rsid w:val="00B86ACD"/>
    <w:rsid w:val="00B94E54"/>
    <w:rsid w:val="00B95081"/>
    <w:rsid w:val="00BA0343"/>
    <w:rsid w:val="00BB378D"/>
    <w:rsid w:val="00BC521C"/>
    <w:rsid w:val="00BC5C35"/>
    <w:rsid w:val="00BC6EB6"/>
    <w:rsid w:val="00BD2FB7"/>
    <w:rsid w:val="00BD3AB5"/>
    <w:rsid w:val="00BD4BAE"/>
    <w:rsid w:val="00BD5F27"/>
    <w:rsid w:val="00BD6716"/>
    <w:rsid w:val="00BD6E05"/>
    <w:rsid w:val="00BD735F"/>
    <w:rsid w:val="00BE42E6"/>
    <w:rsid w:val="00BF1B88"/>
    <w:rsid w:val="00BF7DBD"/>
    <w:rsid w:val="00C07ECD"/>
    <w:rsid w:val="00C1085B"/>
    <w:rsid w:val="00C10971"/>
    <w:rsid w:val="00C14E77"/>
    <w:rsid w:val="00C233F0"/>
    <w:rsid w:val="00C236F7"/>
    <w:rsid w:val="00C26541"/>
    <w:rsid w:val="00C26B48"/>
    <w:rsid w:val="00C275C4"/>
    <w:rsid w:val="00C30ECD"/>
    <w:rsid w:val="00C31ACF"/>
    <w:rsid w:val="00C57496"/>
    <w:rsid w:val="00C611DA"/>
    <w:rsid w:val="00C62D1C"/>
    <w:rsid w:val="00C645D5"/>
    <w:rsid w:val="00C75981"/>
    <w:rsid w:val="00C813B4"/>
    <w:rsid w:val="00C82497"/>
    <w:rsid w:val="00C83E50"/>
    <w:rsid w:val="00C873DB"/>
    <w:rsid w:val="00C93C87"/>
    <w:rsid w:val="00C97028"/>
    <w:rsid w:val="00CA1EA9"/>
    <w:rsid w:val="00CA6411"/>
    <w:rsid w:val="00CB2151"/>
    <w:rsid w:val="00CC5267"/>
    <w:rsid w:val="00CD1736"/>
    <w:rsid w:val="00CD2A49"/>
    <w:rsid w:val="00CD43CF"/>
    <w:rsid w:val="00CD75D5"/>
    <w:rsid w:val="00CD7F34"/>
    <w:rsid w:val="00CE0733"/>
    <w:rsid w:val="00CE438C"/>
    <w:rsid w:val="00CE6569"/>
    <w:rsid w:val="00CF1731"/>
    <w:rsid w:val="00D069EC"/>
    <w:rsid w:val="00D108C8"/>
    <w:rsid w:val="00D20940"/>
    <w:rsid w:val="00D214EA"/>
    <w:rsid w:val="00D24A54"/>
    <w:rsid w:val="00D267B9"/>
    <w:rsid w:val="00D26CF3"/>
    <w:rsid w:val="00D42151"/>
    <w:rsid w:val="00D46FED"/>
    <w:rsid w:val="00D513B8"/>
    <w:rsid w:val="00D554F2"/>
    <w:rsid w:val="00D669AC"/>
    <w:rsid w:val="00D71AF0"/>
    <w:rsid w:val="00D82031"/>
    <w:rsid w:val="00D84EA8"/>
    <w:rsid w:val="00D92433"/>
    <w:rsid w:val="00D93E4B"/>
    <w:rsid w:val="00D9609B"/>
    <w:rsid w:val="00D974A3"/>
    <w:rsid w:val="00DA0346"/>
    <w:rsid w:val="00DA0D24"/>
    <w:rsid w:val="00DA4E7A"/>
    <w:rsid w:val="00DA5DED"/>
    <w:rsid w:val="00DB0ADC"/>
    <w:rsid w:val="00DB58CF"/>
    <w:rsid w:val="00DB7A0B"/>
    <w:rsid w:val="00DC1DE5"/>
    <w:rsid w:val="00DC3226"/>
    <w:rsid w:val="00DC4A23"/>
    <w:rsid w:val="00DC571A"/>
    <w:rsid w:val="00DC632C"/>
    <w:rsid w:val="00DC76DB"/>
    <w:rsid w:val="00DD5B99"/>
    <w:rsid w:val="00DD76E8"/>
    <w:rsid w:val="00DE4550"/>
    <w:rsid w:val="00DF07F5"/>
    <w:rsid w:val="00DF1FB6"/>
    <w:rsid w:val="00DF44E3"/>
    <w:rsid w:val="00DF71B8"/>
    <w:rsid w:val="00E023A0"/>
    <w:rsid w:val="00E04950"/>
    <w:rsid w:val="00E11FF1"/>
    <w:rsid w:val="00E12EFD"/>
    <w:rsid w:val="00E45272"/>
    <w:rsid w:val="00E459EF"/>
    <w:rsid w:val="00E47F5F"/>
    <w:rsid w:val="00E554BA"/>
    <w:rsid w:val="00E6304E"/>
    <w:rsid w:val="00E63DFF"/>
    <w:rsid w:val="00E71FCD"/>
    <w:rsid w:val="00E74872"/>
    <w:rsid w:val="00E83194"/>
    <w:rsid w:val="00E90C9E"/>
    <w:rsid w:val="00E91680"/>
    <w:rsid w:val="00E931BF"/>
    <w:rsid w:val="00E9774A"/>
    <w:rsid w:val="00EA5C7A"/>
    <w:rsid w:val="00EA64C7"/>
    <w:rsid w:val="00EB2405"/>
    <w:rsid w:val="00EB2D23"/>
    <w:rsid w:val="00EB3268"/>
    <w:rsid w:val="00EB5D10"/>
    <w:rsid w:val="00EB67F5"/>
    <w:rsid w:val="00EC15CF"/>
    <w:rsid w:val="00EC3B4D"/>
    <w:rsid w:val="00EC458B"/>
    <w:rsid w:val="00ED7470"/>
    <w:rsid w:val="00ED7515"/>
    <w:rsid w:val="00EE0F0B"/>
    <w:rsid w:val="00EE2450"/>
    <w:rsid w:val="00EF03AC"/>
    <w:rsid w:val="00EF57BE"/>
    <w:rsid w:val="00EF7C52"/>
    <w:rsid w:val="00F03C85"/>
    <w:rsid w:val="00F03CC8"/>
    <w:rsid w:val="00F069BF"/>
    <w:rsid w:val="00F06C83"/>
    <w:rsid w:val="00F144B4"/>
    <w:rsid w:val="00F21295"/>
    <w:rsid w:val="00F224B4"/>
    <w:rsid w:val="00F274E3"/>
    <w:rsid w:val="00F3409B"/>
    <w:rsid w:val="00F34D26"/>
    <w:rsid w:val="00F475E6"/>
    <w:rsid w:val="00F478F5"/>
    <w:rsid w:val="00F50B52"/>
    <w:rsid w:val="00F50DAF"/>
    <w:rsid w:val="00F5152B"/>
    <w:rsid w:val="00F53F81"/>
    <w:rsid w:val="00F54CD4"/>
    <w:rsid w:val="00F609E7"/>
    <w:rsid w:val="00F67A6C"/>
    <w:rsid w:val="00F713B5"/>
    <w:rsid w:val="00F729A5"/>
    <w:rsid w:val="00F737E1"/>
    <w:rsid w:val="00F73E59"/>
    <w:rsid w:val="00F7444B"/>
    <w:rsid w:val="00F760CA"/>
    <w:rsid w:val="00F76F7B"/>
    <w:rsid w:val="00F8204B"/>
    <w:rsid w:val="00F83604"/>
    <w:rsid w:val="00F85A01"/>
    <w:rsid w:val="00F879F7"/>
    <w:rsid w:val="00F92A6D"/>
    <w:rsid w:val="00F94924"/>
    <w:rsid w:val="00F9713C"/>
    <w:rsid w:val="00FA0015"/>
    <w:rsid w:val="00FA279A"/>
    <w:rsid w:val="00FA75A1"/>
    <w:rsid w:val="00FB39CA"/>
    <w:rsid w:val="00FC092C"/>
    <w:rsid w:val="00FC249A"/>
    <w:rsid w:val="00FC4427"/>
    <w:rsid w:val="00FC46F6"/>
    <w:rsid w:val="00FD092E"/>
    <w:rsid w:val="00FD6D19"/>
    <w:rsid w:val="00FE59CA"/>
    <w:rsid w:val="00FE76DB"/>
    <w:rsid w:val="00FF21E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customStyle="1" w:styleId="MTDisplayEquation">
    <w:name w:val="MTDisplayEquation"/>
    <w:basedOn w:val="Normal"/>
    <w:next w:val="Normal"/>
    <w:link w:val="MTDisplayEquationChar"/>
    <w:rsid w:val="007D7B10"/>
    <w:pPr>
      <w:tabs>
        <w:tab w:val="center" w:pos="4320"/>
        <w:tab w:val="right" w:pos="8640"/>
      </w:tabs>
    </w:pPr>
    <w:rPr>
      <w:rFonts w:ascii="Calibri" w:hAnsi="Calibri" w:cs="Calibri"/>
    </w:rPr>
  </w:style>
  <w:style w:type="character" w:customStyle="1" w:styleId="MTDisplayEquationChar">
    <w:name w:val="MTDisplayEquation Char"/>
    <w:basedOn w:val="DefaultParagraphFont"/>
    <w:link w:val="MTDisplayEquation"/>
    <w:rsid w:val="007D7B10"/>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21" Type="http://schemas.openxmlformats.org/officeDocument/2006/relationships/oleObject" Target="embeddings/oleObject8.bin"/><Relationship Id="rId34" Type="http://schemas.openxmlformats.org/officeDocument/2006/relationships/image" Target="media/image16.wmf"/><Relationship Id="rId7" Type="http://schemas.openxmlformats.org/officeDocument/2006/relationships/oleObject" Target="embeddings/oleObject1.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8"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6937</TotalTime>
  <Pages>5</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125</cp:revision>
  <dcterms:created xsi:type="dcterms:W3CDTF">2020-09-03T01:14:00Z</dcterms:created>
  <dcterms:modified xsi:type="dcterms:W3CDTF">2021-11-22T19:41:00Z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